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DE7" w:rsidRPr="00734968" w:rsidRDefault="00FE5DE7" w:rsidP="00FE5DE7">
      <w:pPr>
        <w:pStyle w:val="H1"/>
        <w:jc w:val="center"/>
        <w:rPr>
          <w:lang w:val="en-SG"/>
        </w:rPr>
      </w:pPr>
      <w:r w:rsidRPr="00734968">
        <w:rPr>
          <w:lang w:val="en-SG"/>
        </w:rPr>
        <w:t>COIR disclosure</w:t>
      </w:r>
    </w:p>
    <w:p w:rsidR="00FE5DE7" w:rsidRPr="00734968" w:rsidRDefault="00FE5DE7" w:rsidP="00FE5DE7">
      <w:pPr>
        <w:spacing w:after="0" w:line="240" w:lineRule="auto"/>
      </w:pPr>
    </w:p>
    <w:p w:rsidR="00FE5DE7" w:rsidRPr="00734968" w:rsidRDefault="00FE5DE7" w:rsidP="00FE5DE7">
      <w:pPr>
        <w:spacing w:after="0" w:line="240" w:lineRule="auto"/>
        <w:rPr>
          <w:color w:val="000000"/>
          <w:lang w:eastAsia="ja-JP"/>
        </w:rPr>
      </w:pPr>
      <w:r w:rsidRPr="00734968">
        <w:rPr>
          <w:color w:val="000000"/>
          <w:lang w:eastAsia="ja-JP"/>
        </w:rPr>
        <w:t xml:space="preserve">This form </w:t>
      </w:r>
      <w:r>
        <w:rPr>
          <w:color w:val="000000"/>
          <w:lang w:eastAsia="ja-JP"/>
        </w:rPr>
        <w:t>is to be completed for each cloud service where</w:t>
      </w:r>
      <w:r w:rsidRPr="00734968">
        <w:rPr>
          <w:color w:val="000000"/>
          <w:lang w:eastAsia="ja-JP"/>
        </w:rPr>
        <w:t xml:space="preserve"> COIR protection parameters </w:t>
      </w:r>
      <w:r w:rsidR="00BA6511">
        <w:rPr>
          <w:color w:val="000000"/>
          <w:lang w:eastAsia="ja-JP"/>
        </w:rPr>
        <w:t>are</w:t>
      </w:r>
      <w:r w:rsidRPr="00734968">
        <w:rPr>
          <w:color w:val="000000"/>
          <w:lang w:eastAsia="ja-JP"/>
        </w:rPr>
        <w:t xml:space="preserve"> used by CSPs to share their capabilities to manage outages of the subscribed cloud service.</w:t>
      </w:r>
    </w:p>
    <w:tbl>
      <w:tblPr>
        <w:tblStyle w:val="TableGrid"/>
        <w:tblW w:w="9019" w:type="dxa"/>
        <w:tblLayout w:type="fixed"/>
        <w:tblLook w:val="04A0" w:firstRow="1" w:lastRow="0" w:firstColumn="1" w:lastColumn="0" w:noHBand="0" w:noVBand="1"/>
      </w:tblPr>
      <w:tblGrid>
        <w:gridCol w:w="562"/>
        <w:gridCol w:w="3033"/>
        <w:gridCol w:w="3150"/>
        <w:gridCol w:w="2274"/>
      </w:tblGrid>
      <w:tr w:rsidR="00FE5DE7" w:rsidRPr="00734968" w:rsidTr="00FE5DE7">
        <w:trPr>
          <w:trHeight w:val="344"/>
        </w:trPr>
        <w:tc>
          <w:tcPr>
            <w:tcW w:w="9019" w:type="dxa"/>
            <w:gridSpan w:val="4"/>
          </w:tcPr>
          <w:p w:rsidR="00FE5DE7" w:rsidRPr="00734968" w:rsidRDefault="00FE5DE7" w:rsidP="00270A05">
            <w:pPr>
              <w:spacing w:after="0" w:line="240" w:lineRule="auto"/>
              <w:jc w:val="left"/>
              <w:rPr>
                <w:rFonts w:cs="Arial"/>
                <w:b/>
                <w:color w:val="000000"/>
                <w:lang w:eastAsia="ja-JP"/>
              </w:rPr>
            </w:pPr>
            <w:r w:rsidRPr="00734968">
              <w:rPr>
                <w:rFonts w:cs="Arial"/>
                <w:b/>
                <w:color w:val="000000"/>
                <w:lang w:eastAsia="ja-JP"/>
              </w:rPr>
              <w:t>A. Company information</w:t>
            </w:r>
          </w:p>
        </w:tc>
      </w:tr>
      <w:tr w:rsidR="00FE5DE7" w:rsidRPr="00734968" w:rsidTr="00FE5DE7">
        <w:tc>
          <w:tcPr>
            <w:tcW w:w="9019" w:type="dxa"/>
            <w:gridSpan w:val="4"/>
          </w:tcPr>
          <w:p w:rsidR="00FE5DE7" w:rsidRPr="00734968" w:rsidRDefault="00FE5DE7" w:rsidP="00270A05">
            <w:pPr>
              <w:spacing w:after="0" w:line="240" w:lineRule="auto"/>
              <w:jc w:val="left"/>
              <w:rPr>
                <w:rFonts w:cs="Arial"/>
                <w:lang w:eastAsia="en-US"/>
              </w:rPr>
            </w:pPr>
            <w:r w:rsidRPr="00734968">
              <w:rPr>
                <w:rFonts w:cs="Arial"/>
                <w:lang w:eastAsia="en-US"/>
              </w:rPr>
              <w:t>Company name:       ___________________________________________</w:t>
            </w:r>
            <w:r w:rsidRPr="00734968">
              <w:rPr>
                <w:rFonts w:cs="Arial"/>
                <w:lang w:eastAsia="en-US"/>
              </w:rPr>
              <w:br/>
              <w:t>Primary address:      ___________________________________________</w:t>
            </w:r>
          </w:p>
          <w:p w:rsidR="00FE5DE7" w:rsidRPr="00734968" w:rsidRDefault="00FE5DE7" w:rsidP="00270A05">
            <w:pPr>
              <w:spacing w:after="0" w:line="240" w:lineRule="auto"/>
              <w:jc w:val="left"/>
              <w:rPr>
                <w:rFonts w:cs="Arial"/>
                <w:lang w:eastAsia="en-US"/>
              </w:rPr>
            </w:pPr>
            <w:r w:rsidRPr="00734968">
              <w:rPr>
                <w:rFonts w:cs="Arial"/>
                <w:lang w:eastAsia="en-US"/>
              </w:rPr>
              <w:t xml:space="preserve">                                 ___________________________________________   </w:t>
            </w:r>
          </w:p>
          <w:p w:rsidR="00FE5DE7" w:rsidRPr="00734968" w:rsidRDefault="00FE5DE7" w:rsidP="00270A05">
            <w:pPr>
              <w:spacing w:after="0" w:line="240" w:lineRule="auto"/>
              <w:jc w:val="left"/>
              <w:rPr>
                <w:rFonts w:cs="Arial"/>
                <w:lang w:eastAsia="en-US"/>
              </w:rPr>
            </w:pPr>
            <w:r w:rsidRPr="00734968">
              <w:rPr>
                <w:rFonts w:cs="Arial"/>
                <w:lang w:eastAsia="en-US"/>
              </w:rPr>
              <w:t xml:space="preserve">                                 ___________________________________________   </w:t>
            </w:r>
          </w:p>
          <w:p w:rsidR="00FE5DE7" w:rsidRPr="00734968" w:rsidRDefault="00FE5DE7" w:rsidP="00270A05">
            <w:pPr>
              <w:spacing w:after="0" w:line="240" w:lineRule="auto"/>
              <w:jc w:val="left"/>
              <w:rPr>
                <w:rFonts w:cs="Arial"/>
                <w:lang w:eastAsia="en-US"/>
              </w:rPr>
            </w:pPr>
            <w:r w:rsidRPr="00734968">
              <w:rPr>
                <w:rFonts w:cs="Arial"/>
                <w:lang w:eastAsia="en-US"/>
              </w:rPr>
              <w:t xml:space="preserve">                                 ___________________________________________   </w:t>
            </w:r>
          </w:p>
          <w:p w:rsidR="00FE5DE7" w:rsidRPr="00734968" w:rsidRDefault="00FE5DE7" w:rsidP="00270A05">
            <w:pPr>
              <w:spacing w:after="0" w:line="240" w:lineRule="auto"/>
              <w:jc w:val="left"/>
              <w:rPr>
                <w:rFonts w:cs="Arial"/>
                <w:lang w:eastAsia="en-US"/>
              </w:rPr>
            </w:pPr>
            <w:r w:rsidRPr="00734968">
              <w:rPr>
                <w:rFonts w:cs="Arial"/>
                <w:lang w:eastAsia="en-US"/>
              </w:rPr>
              <w:t>Web address:           ___________________________________________</w:t>
            </w:r>
          </w:p>
          <w:p w:rsidR="00FE5DE7" w:rsidRPr="00734968" w:rsidRDefault="00FE5DE7" w:rsidP="00270A05">
            <w:pPr>
              <w:spacing w:after="0" w:line="240" w:lineRule="auto"/>
              <w:jc w:val="left"/>
              <w:rPr>
                <w:rFonts w:cs="Arial"/>
                <w:lang w:eastAsia="en-US"/>
              </w:rPr>
            </w:pPr>
            <w:r w:rsidRPr="00734968">
              <w:rPr>
                <w:rFonts w:cs="Arial"/>
                <w:lang w:eastAsia="en-US"/>
              </w:rPr>
              <w:t>Contact number:       ___________________________________________</w:t>
            </w:r>
          </w:p>
          <w:p w:rsidR="00FE5DE7" w:rsidRDefault="00FE5DE7" w:rsidP="00270A05">
            <w:pPr>
              <w:spacing w:after="0" w:line="240" w:lineRule="auto"/>
              <w:jc w:val="left"/>
              <w:rPr>
                <w:rFonts w:cs="Arial"/>
                <w:lang w:eastAsia="en-US"/>
              </w:rPr>
            </w:pPr>
            <w:r w:rsidRPr="00734968">
              <w:rPr>
                <w:rFonts w:cs="Arial"/>
                <w:lang w:eastAsia="en-US"/>
              </w:rPr>
              <w:t>Contact name:          ___________________________________________</w:t>
            </w:r>
          </w:p>
          <w:p w:rsidR="00FE5DE7" w:rsidRPr="00734968" w:rsidRDefault="00FE5DE7" w:rsidP="00270A05">
            <w:pPr>
              <w:spacing w:after="0" w:line="240" w:lineRule="auto"/>
              <w:jc w:val="left"/>
              <w:rPr>
                <w:rFonts w:cs="Arial"/>
                <w:lang w:eastAsia="en-US"/>
              </w:rPr>
            </w:pPr>
            <w:r w:rsidRPr="00734968">
              <w:rPr>
                <w:rFonts w:cs="Arial"/>
                <w:lang w:eastAsia="en-US"/>
              </w:rPr>
              <w:t>Contact designation: ___________________________________________</w:t>
            </w:r>
          </w:p>
          <w:p w:rsidR="00B42956" w:rsidRDefault="00B42956" w:rsidP="00B42956">
            <w:pPr>
              <w:spacing w:after="0" w:line="240" w:lineRule="auto"/>
              <w:jc w:val="left"/>
              <w:rPr>
                <w:rFonts w:cs="Arial"/>
                <w:lang w:eastAsia="en-US"/>
              </w:rPr>
            </w:pPr>
            <w:r>
              <w:rPr>
                <w:rFonts w:cs="Arial"/>
                <w:lang w:eastAsia="en-US"/>
              </w:rPr>
              <w:t>Contact email</w:t>
            </w:r>
            <w:r w:rsidRPr="00734968">
              <w:rPr>
                <w:rFonts w:cs="Arial"/>
                <w:lang w:eastAsia="en-US"/>
              </w:rPr>
              <w:t>:          ___________________________________________</w:t>
            </w:r>
          </w:p>
          <w:p w:rsidR="00FE5DE7" w:rsidRPr="00734968" w:rsidRDefault="00FE5DE7" w:rsidP="00270A05">
            <w:pPr>
              <w:spacing w:after="0" w:line="240" w:lineRule="auto"/>
              <w:jc w:val="left"/>
              <w:rPr>
                <w:rFonts w:cs="Arial"/>
                <w:lang w:eastAsia="en-US"/>
              </w:rPr>
            </w:pPr>
          </w:p>
          <w:p w:rsidR="00FE5DE7" w:rsidRDefault="00FE5DE7" w:rsidP="00270A05">
            <w:pPr>
              <w:spacing w:after="0" w:line="240" w:lineRule="auto"/>
              <w:jc w:val="left"/>
              <w:rPr>
                <w:rFonts w:cs="Arial"/>
                <w:lang w:eastAsia="en-US"/>
              </w:rPr>
            </w:pPr>
            <w:r w:rsidRPr="00734968">
              <w:rPr>
                <w:rFonts w:cs="Arial"/>
                <w:lang w:eastAsia="en-US"/>
              </w:rPr>
              <w:t>Company stamp: _________________ Signature of company representative:  ________________</w:t>
            </w:r>
          </w:p>
          <w:p w:rsidR="00FE5DE7" w:rsidRPr="00734968" w:rsidRDefault="00FE5DE7" w:rsidP="00B42956">
            <w:pPr>
              <w:spacing w:after="0" w:line="240" w:lineRule="auto"/>
              <w:jc w:val="left"/>
              <w:rPr>
                <w:rFonts w:cs="Arial"/>
                <w:color w:val="000000"/>
                <w:lang w:eastAsia="ja-JP"/>
              </w:rPr>
            </w:pPr>
          </w:p>
        </w:tc>
      </w:tr>
      <w:tr w:rsidR="00351E26" w:rsidRPr="00186A8F" w:rsidTr="00351E26">
        <w:trPr>
          <w:trHeight w:val="253"/>
        </w:trPr>
        <w:tc>
          <w:tcPr>
            <w:tcW w:w="9019" w:type="dxa"/>
            <w:gridSpan w:val="4"/>
          </w:tcPr>
          <w:p w:rsidR="00351E26" w:rsidRPr="002A6B6E" w:rsidRDefault="00351E26" w:rsidP="00270A05">
            <w:pPr>
              <w:spacing w:after="0" w:line="240" w:lineRule="auto"/>
              <w:jc w:val="left"/>
              <w:rPr>
                <w:rFonts w:cs="Arial"/>
                <w:b/>
                <w:color w:val="000000"/>
                <w:lang w:eastAsia="ja-JP"/>
              </w:rPr>
            </w:pPr>
            <w:r w:rsidRPr="002A6B6E">
              <w:rPr>
                <w:rFonts w:cs="Arial"/>
                <w:b/>
                <w:color w:val="000000"/>
                <w:lang w:eastAsia="ja-JP"/>
              </w:rPr>
              <w:t>Date of Disclosure:</w:t>
            </w:r>
          </w:p>
        </w:tc>
      </w:tr>
      <w:tr w:rsidR="00FE5DE7" w:rsidRPr="00186A8F" w:rsidTr="00FE5DE7">
        <w:trPr>
          <w:trHeight w:val="388"/>
        </w:trPr>
        <w:tc>
          <w:tcPr>
            <w:tcW w:w="9019" w:type="dxa"/>
            <w:gridSpan w:val="4"/>
          </w:tcPr>
          <w:p w:rsidR="00FE5DE7" w:rsidRPr="005C5EE5" w:rsidRDefault="00FE5DE7" w:rsidP="00270A05">
            <w:pPr>
              <w:spacing w:after="0" w:line="240" w:lineRule="auto"/>
              <w:jc w:val="left"/>
              <w:rPr>
                <w:rFonts w:cs="Arial"/>
                <w:b/>
                <w:color w:val="000000"/>
                <w:lang w:eastAsia="ja-JP"/>
              </w:rPr>
            </w:pPr>
            <w:r w:rsidRPr="00734968">
              <w:rPr>
                <w:rFonts w:cs="Arial"/>
                <w:b/>
                <w:color w:val="000000"/>
                <w:lang w:eastAsia="ja-JP"/>
              </w:rPr>
              <w:t>B. Applicable cloud services</w:t>
            </w:r>
          </w:p>
        </w:tc>
      </w:tr>
      <w:tr w:rsidR="00FE5DE7" w:rsidRPr="00186A8F" w:rsidTr="00FE5DE7">
        <w:tc>
          <w:tcPr>
            <w:tcW w:w="9019" w:type="dxa"/>
            <w:gridSpan w:val="4"/>
          </w:tcPr>
          <w:p w:rsidR="00FE5DE7" w:rsidRPr="00734968" w:rsidRDefault="00FE5DE7" w:rsidP="00270A05">
            <w:pPr>
              <w:spacing w:after="0" w:line="240" w:lineRule="auto"/>
              <w:jc w:val="left"/>
              <w:rPr>
                <w:rFonts w:cs="Arial"/>
                <w:color w:val="000000"/>
                <w:lang w:eastAsia="ja-JP"/>
              </w:rPr>
            </w:pPr>
          </w:p>
          <w:p w:rsidR="00FE5DE7" w:rsidRPr="00734968" w:rsidRDefault="00FE5DE7" w:rsidP="00270A05">
            <w:pPr>
              <w:spacing w:after="0" w:line="240" w:lineRule="auto"/>
              <w:jc w:val="left"/>
              <w:rPr>
                <w:rFonts w:cs="Arial"/>
                <w:color w:val="000000"/>
                <w:lang w:eastAsia="ja-JP"/>
              </w:rPr>
            </w:pPr>
            <w:r w:rsidRPr="00734968">
              <w:rPr>
                <w:rFonts w:cs="Arial"/>
                <w:color w:val="000000"/>
                <w:lang w:eastAsia="ja-JP"/>
              </w:rPr>
              <w:t>Service description: _________________________________________________________</w:t>
            </w:r>
          </w:p>
          <w:p w:rsidR="00FE5DE7" w:rsidRPr="00734968" w:rsidRDefault="00FE5DE7" w:rsidP="00270A05">
            <w:pPr>
              <w:spacing w:after="0" w:line="240" w:lineRule="auto"/>
              <w:jc w:val="left"/>
              <w:rPr>
                <w:rFonts w:cs="Arial"/>
                <w:color w:val="000000"/>
                <w:lang w:eastAsia="ja-JP"/>
              </w:rPr>
            </w:pPr>
          </w:p>
        </w:tc>
      </w:tr>
      <w:tr w:rsidR="00FE5DE7" w:rsidRPr="00186A8F" w:rsidTr="00FE5DE7">
        <w:tc>
          <w:tcPr>
            <w:tcW w:w="9019" w:type="dxa"/>
            <w:gridSpan w:val="4"/>
          </w:tcPr>
          <w:p w:rsidR="00FE5DE7" w:rsidRPr="00734968" w:rsidRDefault="00FE5DE7" w:rsidP="00270A05">
            <w:pPr>
              <w:spacing w:after="0" w:line="240" w:lineRule="auto"/>
              <w:jc w:val="left"/>
              <w:rPr>
                <w:rFonts w:cs="Arial"/>
                <w:color w:val="000000"/>
                <w:lang w:eastAsia="ja-JP"/>
              </w:rPr>
            </w:pPr>
            <w:r w:rsidRPr="00734968">
              <w:rPr>
                <w:rFonts w:cs="Arial"/>
                <w:color w:val="000000"/>
                <w:lang w:eastAsia="ja-JP"/>
              </w:rPr>
              <w:t>Type of service (tick √ one):</w:t>
            </w:r>
          </w:p>
          <w:p w:rsidR="00FE5DE7" w:rsidRPr="00734968" w:rsidRDefault="00FE5DE7" w:rsidP="00270A05">
            <w:pPr>
              <w:spacing w:after="0" w:line="240" w:lineRule="auto"/>
              <w:jc w:val="left"/>
              <w:rPr>
                <w:rFonts w:cs="Arial"/>
                <w:color w:val="000000"/>
                <w:lang w:eastAsia="ja-JP"/>
              </w:rPr>
            </w:pPr>
          </w:p>
          <w:p w:rsidR="00FE5DE7" w:rsidRPr="00734968" w:rsidRDefault="00555972" w:rsidP="00270A05">
            <w:pPr>
              <w:spacing w:after="0" w:line="240" w:lineRule="auto"/>
              <w:jc w:val="left"/>
              <w:rPr>
                <w:rFonts w:cs="Arial"/>
                <w:iCs/>
                <w:lang w:eastAsia="en-US"/>
              </w:rPr>
            </w:pPr>
            <w:sdt>
              <w:sdtPr>
                <w:rPr>
                  <w:rFonts w:cs="Arial"/>
                  <w:iCs/>
                  <w:lang w:eastAsia="en-US"/>
                </w:rPr>
                <w:id w:val="65930924"/>
                <w14:checkbox>
                  <w14:checked w14:val="0"/>
                  <w14:checkedState w14:val="2612" w14:font="Times New Roman"/>
                  <w14:uncheckedState w14:val="2610" w14:font="Times New Roman"/>
                </w14:checkbox>
              </w:sdtPr>
              <w:sdtEndPr/>
              <w:sdtContent>
                <w:r w:rsidR="00FE5DE7" w:rsidRPr="00734968">
                  <w:rPr>
                    <w:rFonts w:ascii="Segoe UI Symbol" w:hAnsi="Segoe UI Symbol" w:cs="Segoe UI Symbol"/>
                    <w:iCs/>
                    <w:lang w:eastAsia="en-US"/>
                  </w:rPr>
                  <w:t>☐</w:t>
                </w:r>
              </w:sdtContent>
            </w:sdt>
            <w:r w:rsidR="00FE5DE7" w:rsidRPr="00734968">
              <w:rPr>
                <w:rFonts w:cs="Arial"/>
                <w:iCs/>
                <w:lang w:eastAsia="en-US"/>
              </w:rPr>
              <w:t xml:space="preserve"> IaaS                            </w:t>
            </w:r>
            <w:sdt>
              <w:sdtPr>
                <w:rPr>
                  <w:rFonts w:cs="Arial"/>
                  <w:iCs/>
                  <w:lang w:eastAsia="en-US"/>
                </w:rPr>
                <w:id w:val="738825566"/>
                <w14:checkbox>
                  <w14:checked w14:val="0"/>
                  <w14:checkedState w14:val="2612" w14:font="Times New Roman"/>
                  <w14:uncheckedState w14:val="2610" w14:font="Times New Roman"/>
                </w14:checkbox>
              </w:sdtPr>
              <w:sdtEndPr/>
              <w:sdtContent>
                <w:r w:rsidR="00FE5DE7" w:rsidRPr="00734968">
                  <w:rPr>
                    <w:rFonts w:ascii="Segoe UI Symbol" w:hAnsi="Segoe UI Symbol" w:cs="Segoe UI Symbol"/>
                    <w:iCs/>
                    <w:lang w:eastAsia="en-US"/>
                  </w:rPr>
                  <w:t>☐</w:t>
                </w:r>
              </w:sdtContent>
            </w:sdt>
            <w:r w:rsidR="00FE5DE7" w:rsidRPr="00734968">
              <w:rPr>
                <w:rFonts w:cs="Arial"/>
                <w:iCs/>
                <w:lang w:eastAsia="en-US"/>
              </w:rPr>
              <w:t xml:space="preserve"> PaaS                         </w:t>
            </w:r>
            <w:sdt>
              <w:sdtPr>
                <w:rPr>
                  <w:rFonts w:cs="Arial"/>
                  <w:iCs/>
                  <w:lang w:eastAsia="en-US"/>
                </w:rPr>
                <w:id w:val="-1746799605"/>
                <w14:checkbox>
                  <w14:checked w14:val="0"/>
                  <w14:checkedState w14:val="2612" w14:font="Times New Roman"/>
                  <w14:uncheckedState w14:val="2610" w14:font="Times New Roman"/>
                </w14:checkbox>
              </w:sdtPr>
              <w:sdtEndPr/>
              <w:sdtContent>
                <w:r w:rsidR="00FE5DE7" w:rsidRPr="00734968">
                  <w:rPr>
                    <w:rFonts w:ascii="Segoe UI Symbol" w:hAnsi="Segoe UI Symbol" w:cs="Segoe UI Symbol"/>
                    <w:iCs/>
                    <w:lang w:eastAsia="en-US"/>
                  </w:rPr>
                  <w:t>☐</w:t>
                </w:r>
              </w:sdtContent>
            </w:sdt>
            <w:r w:rsidR="00FE5DE7" w:rsidRPr="00734968">
              <w:rPr>
                <w:rFonts w:cs="Arial"/>
                <w:iCs/>
                <w:lang w:eastAsia="en-US"/>
              </w:rPr>
              <w:t xml:space="preserve"> SaaS                          </w:t>
            </w:r>
            <w:sdt>
              <w:sdtPr>
                <w:rPr>
                  <w:rFonts w:cs="Arial"/>
                  <w:iCs/>
                  <w:lang w:eastAsia="en-US"/>
                </w:rPr>
                <w:id w:val="-1063174295"/>
                <w14:checkbox>
                  <w14:checked w14:val="0"/>
                  <w14:checkedState w14:val="2612" w14:font="Times New Roman"/>
                  <w14:uncheckedState w14:val="2610" w14:font="Times New Roman"/>
                </w14:checkbox>
              </w:sdtPr>
              <w:sdtEndPr/>
              <w:sdtContent>
                <w:r w:rsidR="00FE5DE7" w:rsidRPr="00734968">
                  <w:rPr>
                    <w:rFonts w:ascii="Segoe UI Symbol" w:hAnsi="Segoe UI Symbol" w:cs="Segoe UI Symbol"/>
                    <w:iCs/>
                    <w:lang w:eastAsia="en-US"/>
                  </w:rPr>
                  <w:t>☐</w:t>
                </w:r>
              </w:sdtContent>
            </w:sdt>
            <w:r w:rsidR="00FE5DE7" w:rsidRPr="00734968">
              <w:rPr>
                <w:rFonts w:cs="Arial"/>
                <w:iCs/>
                <w:lang w:eastAsia="en-US"/>
              </w:rPr>
              <w:t xml:space="preserve"> Others _____________</w:t>
            </w:r>
          </w:p>
          <w:p w:rsidR="00FE5DE7" w:rsidRPr="00734968" w:rsidRDefault="00FE5DE7" w:rsidP="00270A05">
            <w:pPr>
              <w:spacing w:after="0" w:line="240" w:lineRule="auto"/>
              <w:jc w:val="left"/>
              <w:rPr>
                <w:rFonts w:cs="Arial"/>
                <w:color w:val="000000"/>
                <w:lang w:eastAsia="ja-JP"/>
              </w:rPr>
            </w:pPr>
          </w:p>
        </w:tc>
      </w:tr>
      <w:tr w:rsidR="00FE5DE7" w:rsidRPr="00186A8F" w:rsidTr="00FE5DE7">
        <w:tc>
          <w:tcPr>
            <w:tcW w:w="9019" w:type="dxa"/>
            <w:gridSpan w:val="4"/>
          </w:tcPr>
          <w:p w:rsidR="00FE5DE7" w:rsidRPr="00351E26" w:rsidRDefault="00FE5DE7" w:rsidP="00270A05">
            <w:pPr>
              <w:spacing w:after="0" w:line="240" w:lineRule="auto"/>
              <w:jc w:val="left"/>
              <w:rPr>
                <w:rFonts w:cs="Arial"/>
                <w:b/>
                <w:color w:val="000000"/>
                <w:lang w:eastAsia="ja-JP"/>
              </w:rPr>
            </w:pPr>
          </w:p>
        </w:tc>
      </w:tr>
      <w:tr w:rsidR="00FE5DE7" w:rsidRPr="00186A8F" w:rsidTr="00FE5DE7">
        <w:tc>
          <w:tcPr>
            <w:tcW w:w="562" w:type="dxa"/>
          </w:tcPr>
          <w:p w:rsidR="00FE5DE7" w:rsidRPr="00734968" w:rsidRDefault="00FE5DE7" w:rsidP="00270A05">
            <w:pPr>
              <w:spacing w:after="0" w:line="240" w:lineRule="auto"/>
              <w:jc w:val="left"/>
              <w:rPr>
                <w:rFonts w:cs="Arial"/>
                <w:b/>
                <w:color w:val="000000"/>
                <w:lang w:eastAsia="ja-JP"/>
              </w:rPr>
            </w:pPr>
            <w:r w:rsidRPr="00734968">
              <w:rPr>
                <w:rFonts w:cs="Arial"/>
                <w:b/>
                <w:color w:val="000000"/>
                <w:lang w:eastAsia="ja-JP"/>
              </w:rPr>
              <w:t>No.</w:t>
            </w:r>
          </w:p>
        </w:tc>
        <w:tc>
          <w:tcPr>
            <w:tcW w:w="3033" w:type="dxa"/>
          </w:tcPr>
          <w:p w:rsidR="00FE5DE7" w:rsidRPr="00734968" w:rsidRDefault="00FE5DE7" w:rsidP="00270A05">
            <w:pPr>
              <w:spacing w:after="0" w:line="240" w:lineRule="auto"/>
              <w:jc w:val="left"/>
              <w:rPr>
                <w:rFonts w:cs="Arial"/>
                <w:b/>
                <w:color w:val="000000"/>
                <w:lang w:eastAsia="ja-JP"/>
              </w:rPr>
            </w:pPr>
            <w:r w:rsidRPr="00734968">
              <w:rPr>
                <w:rFonts w:cs="Arial"/>
                <w:b/>
                <w:color w:val="000000"/>
                <w:lang w:eastAsia="ja-JP"/>
              </w:rPr>
              <w:t>Parameter</w:t>
            </w:r>
          </w:p>
        </w:tc>
        <w:tc>
          <w:tcPr>
            <w:tcW w:w="3150" w:type="dxa"/>
          </w:tcPr>
          <w:p w:rsidR="00FE5DE7" w:rsidRPr="00734968" w:rsidRDefault="00FE5DE7" w:rsidP="00270A05">
            <w:pPr>
              <w:spacing w:after="0" w:line="240" w:lineRule="auto"/>
              <w:jc w:val="left"/>
              <w:rPr>
                <w:rFonts w:cs="Arial"/>
                <w:b/>
                <w:color w:val="000000"/>
                <w:lang w:eastAsia="ja-JP"/>
              </w:rPr>
            </w:pPr>
            <w:r>
              <w:rPr>
                <w:rFonts w:cs="Arial"/>
                <w:b/>
                <w:color w:val="000000"/>
                <w:lang w:eastAsia="ja-JP"/>
              </w:rPr>
              <w:t>“</w:t>
            </w:r>
            <w:r w:rsidRPr="00734968">
              <w:rPr>
                <w:rFonts w:cs="Arial"/>
                <w:b/>
                <w:color w:val="000000"/>
                <w:lang w:eastAsia="ja-JP"/>
              </w:rPr>
              <w:t>As-is</w:t>
            </w:r>
            <w:r>
              <w:rPr>
                <w:rFonts w:cs="Arial"/>
                <w:b/>
                <w:color w:val="000000"/>
                <w:lang w:eastAsia="ja-JP"/>
              </w:rPr>
              <w:t>”</w:t>
            </w:r>
            <w:r w:rsidRPr="00734968">
              <w:rPr>
                <w:rFonts w:cs="Arial"/>
                <w:b/>
                <w:color w:val="000000"/>
                <w:lang w:eastAsia="ja-JP"/>
              </w:rPr>
              <w:t xml:space="preserve"> COIR practice</w:t>
            </w:r>
          </w:p>
        </w:tc>
        <w:tc>
          <w:tcPr>
            <w:tcW w:w="2274" w:type="dxa"/>
          </w:tcPr>
          <w:p w:rsidR="00FE5DE7" w:rsidRPr="005C5EE5" w:rsidRDefault="00FE5DE7" w:rsidP="00270A05">
            <w:pPr>
              <w:spacing w:after="0" w:line="240" w:lineRule="auto"/>
              <w:jc w:val="left"/>
              <w:rPr>
                <w:rFonts w:cs="Arial"/>
                <w:b/>
                <w:color w:val="000000"/>
                <w:lang w:eastAsia="ja-JP"/>
              </w:rPr>
            </w:pPr>
            <w:r w:rsidRPr="005C5EE5">
              <w:rPr>
                <w:rFonts w:cs="Arial"/>
                <w:b/>
                <w:color w:val="000000"/>
                <w:lang w:eastAsia="ja-JP"/>
              </w:rPr>
              <w:t>Remark</w:t>
            </w:r>
            <w:r>
              <w:rPr>
                <w:rFonts w:cs="Arial"/>
                <w:b/>
                <w:color w:val="000000"/>
                <w:lang w:eastAsia="ja-JP"/>
              </w:rPr>
              <w:t>s</w:t>
            </w:r>
          </w:p>
        </w:tc>
      </w:tr>
      <w:tr w:rsidR="00FE5DE7" w:rsidRPr="00186A8F" w:rsidTr="00FE5DE7">
        <w:tc>
          <w:tcPr>
            <w:tcW w:w="562" w:type="dxa"/>
          </w:tcPr>
          <w:p w:rsidR="00FE5DE7" w:rsidRPr="00734968" w:rsidRDefault="00FE5DE7" w:rsidP="00270A05">
            <w:pPr>
              <w:spacing w:after="0" w:line="240" w:lineRule="auto"/>
              <w:jc w:val="left"/>
              <w:rPr>
                <w:rFonts w:cs="Arial"/>
                <w:color w:val="000000"/>
                <w:lang w:eastAsia="ja-JP"/>
              </w:rPr>
            </w:pPr>
            <w:r w:rsidRPr="00734968">
              <w:rPr>
                <w:rFonts w:cs="Arial"/>
                <w:color w:val="000000"/>
                <w:lang w:eastAsia="ja-JP"/>
              </w:rPr>
              <w:t>1</w:t>
            </w:r>
          </w:p>
        </w:tc>
        <w:tc>
          <w:tcPr>
            <w:tcW w:w="3033" w:type="dxa"/>
          </w:tcPr>
          <w:p w:rsidR="00FE5DE7" w:rsidRPr="00734968" w:rsidRDefault="00FE5DE7" w:rsidP="00270A05">
            <w:pPr>
              <w:spacing w:after="0" w:line="240" w:lineRule="auto"/>
              <w:jc w:val="left"/>
              <w:rPr>
                <w:rFonts w:cs="Arial"/>
                <w:color w:val="000000"/>
                <w:lang w:eastAsia="ja-JP"/>
              </w:rPr>
            </w:pPr>
            <w:r w:rsidRPr="00734968">
              <w:rPr>
                <w:rFonts w:cs="Arial"/>
                <w:lang w:eastAsia="ja-JP"/>
              </w:rPr>
              <w:t>Service availability %</w:t>
            </w:r>
          </w:p>
        </w:tc>
        <w:tc>
          <w:tcPr>
            <w:tcW w:w="3150" w:type="dxa"/>
          </w:tcPr>
          <w:p w:rsidR="00FE5DE7" w:rsidRPr="00734968" w:rsidRDefault="00FE5DE7" w:rsidP="00270A05">
            <w:pPr>
              <w:spacing w:after="0" w:line="240" w:lineRule="auto"/>
              <w:jc w:val="left"/>
              <w:rPr>
                <w:rFonts w:cs="Arial"/>
                <w:color w:val="000000"/>
                <w:lang w:eastAsia="ja-JP"/>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734968" w:rsidRDefault="00FE5DE7" w:rsidP="00270A05">
            <w:pPr>
              <w:spacing w:after="0" w:line="240" w:lineRule="auto"/>
              <w:jc w:val="left"/>
              <w:rPr>
                <w:rFonts w:cs="Arial"/>
                <w:color w:val="000000"/>
                <w:lang w:eastAsia="ja-JP"/>
              </w:rPr>
            </w:pPr>
            <w:r w:rsidRPr="00734968">
              <w:rPr>
                <w:rFonts w:cs="Arial"/>
                <w:color w:val="000000"/>
                <w:lang w:eastAsia="ja-JP"/>
              </w:rPr>
              <w:t>2</w:t>
            </w:r>
          </w:p>
        </w:tc>
        <w:tc>
          <w:tcPr>
            <w:tcW w:w="3033" w:type="dxa"/>
          </w:tcPr>
          <w:p w:rsidR="00FE5DE7" w:rsidRPr="00734968" w:rsidRDefault="00FE5DE7" w:rsidP="00270A05">
            <w:pPr>
              <w:spacing w:after="0" w:line="240" w:lineRule="auto"/>
              <w:jc w:val="left"/>
              <w:rPr>
                <w:rFonts w:cs="Arial"/>
                <w:color w:val="000000"/>
                <w:lang w:eastAsia="ja-JP"/>
              </w:rPr>
            </w:pPr>
            <w:r w:rsidRPr="00734968">
              <w:rPr>
                <w:rFonts w:cs="Arial"/>
                <w:lang w:eastAsia="ja-JP"/>
              </w:rPr>
              <w:t>Historical record of availability</w:t>
            </w:r>
          </w:p>
        </w:tc>
        <w:tc>
          <w:tcPr>
            <w:tcW w:w="3150" w:type="dxa"/>
          </w:tcPr>
          <w:p w:rsidR="00FE5DE7" w:rsidRPr="00734968" w:rsidRDefault="00FE5DE7" w:rsidP="00270A05">
            <w:pPr>
              <w:spacing w:after="0" w:line="240" w:lineRule="auto"/>
              <w:jc w:val="left"/>
              <w:rPr>
                <w:rFonts w:cs="Arial"/>
                <w:color w:val="000000"/>
                <w:lang w:eastAsia="ja-JP"/>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734968" w:rsidRDefault="00FE5DE7" w:rsidP="00270A05">
            <w:pPr>
              <w:spacing w:after="0" w:line="240" w:lineRule="auto"/>
              <w:jc w:val="left"/>
              <w:rPr>
                <w:rFonts w:cs="Arial"/>
                <w:color w:val="000000"/>
                <w:lang w:eastAsia="ja-JP"/>
              </w:rPr>
            </w:pPr>
            <w:r w:rsidRPr="00734968">
              <w:rPr>
                <w:rFonts w:cs="Arial"/>
                <w:color w:val="000000"/>
                <w:lang w:eastAsia="ja-JP"/>
              </w:rPr>
              <w:t>3</w:t>
            </w:r>
          </w:p>
        </w:tc>
        <w:tc>
          <w:tcPr>
            <w:tcW w:w="3033" w:type="dxa"/>
          </w:tcPr>
          <w:p w:rsidR="00FE5DE7" w:rsidRPr="00734968" w:rsidRDefault="00FE5DE7" w:rsidP="00270A05">
            <w:pPr>
              <w:spacing w:after="0" w:line="240" w:lineRule="auto"/>
              <w:jc w:val="left"/>
              <w:rPr>
                <w:rFonts w:cs="Arial"/>
                <w:lang w:eastAsia="ja-JP"/>
              </w:rPr>
            </w:pPr>
            <w:r w:rsidRPr="00734968">
              <w:rPr>
                <w:rFonts w:cs="Arial"/>
                <w:color w:val="000000"/>
                <w:lang w:eastAsia="ja-JP"/>
              </w:rPr>
              <w:t>Recovery time objective (RTO)</w:t>
            </w:r>
          </w:p>
        </w:tc>
        <w:tc>
          <w:tcPr>
            <w:tcW w:w="3150" w:type="dxa"/>
          </w:tcPr>
          <w:p w:rsidR="00FE5DE7" w:rsidRPr="00734968" w:rsidRDefault="00FE5DE7" w:rsidP="00270A05">
            <w:pPr>
              <w:spacing w:after="0" w:line="240" w:lineRule="auto"/>
              <w:jc w:val="left"/>
              <w:rPr>
                <w:rFonts w:cs="Arial"/>
                <w:color w:val="000000"/>
                <w:lang w:eastAsia="ja-JP"/>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4</w:t>
            </w:r>
          </w:p>
        </w:tc>
        <w:tc>
          <w:tcPr>
            <w:tcW w:w="3033" w:type="dxa"/>
          </w:tcPr>
          <w:p w:rsidR="00FE5DE7" w:rsidRPr="00734968" w:rsidRDefault="00FE5DE7" w:rsidP="00270A05">
            <w:pPr>
              <w:spacing w:after="0" w:line="240" w:lineRule="auto"/>
              <w:jc w:val="left"/>
              <w:rPr>
                <w:rFonts w:cs="Arial"/>
                <w:color w:val="000000"/>
                <w:lang w:eastAsia="ja-JP"/>
              </w:rPr>
            </w:pPr>
            <w:r w:rsidRPr="00186A8F">
              <w:rPr>
                <w:rFonts w:cs="Arial"/>
                <w:color w:val="000000"/>
                <w:lang w:eastAsia="ja-JP"/>
              </w:rPr>
              <w:t>Recovery point o</w:t>
            </w:r>
            <w:r>
              <w:rPr>
                <w:rFonts w:cs="Arial"/>
                <w:color w:val="000000"/>
                <w:lang w:eastAsia="ja-JP"/>
              </w:rPr>
              <w:t>bjective (RPO)</w:t>
            </w:r>
          </w:p>
        </w:tc>
        <w:tc>
          <w:tcPr>
            <w:tcW w:w="3150" w:type="dxa"/>
          </w:tcPr>
          <w:p w:rsidR="00FE5DE7" w:rsidRPr="00186A8F" w:rsidRDefault="00FE5DE7" w:rsidP="00270A05">
            <w:pPr>
              <w:spacing w:after="0" w:line="240" w:lineRule="auto"/>
              <w:jc w:val="left"/>
              <w:rPr>
                <w:rFonts w:cs="Arial"/>
                <w:color w:val="000000"/>
                <w:lang w:eastAsia="ja-JP"/>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5</w:t>
            </w:r>
          </w:p>
        </w:tc>
        <w:tc>
          <w:tcPr>
            <w:tcW w:w="3033"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Support</w:t>
            </w:r>
            <w:r>
              <w:rPr>
                <w:rFonts w:cs="Arial"/>
                <w:color w:val="000000"/>
                <w:lang w:eastAsia="ja-JP"/>
              </w:rPr>
              <w:t xml:space="preserve"> hours</w:t>
            </w:r>
          </w:p>
        </w:tc>
        <w:tc>
          <w:tcPr>
            <w:tcW w:w="3150" w:type="dxa"/>
          </w:tcPr>
          <w:p w:rsidR="00FE5DE7" w:rsidRPr="00186A8F" w:rsidRDefault="00FE5DE7" w:rsidP="00270A05">
            <w:pPr>
              <w:spacing w:after="0" w:line="240" w:lineRule="auto"/>
              <w:jc w:val="left"/>
              <w:rPr>
                <w:rFonts w:cs="Arial"/>
                <w:color w:val="000000"/>
                <w:lang w:eastAsia="ja-JP"/>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6</w:t>
            </w:r>
            <w:r>
              <w:rPr>
                <w:rFonts w:cs="Arial"/>
                <w:color w:val="000000"/>
                <w:lang w:eastAsia="ja-JP"/>
              </w:rPr>
              <w:t>a</w:t>
            </w:r>
          </w:p>
        </w:tc>
        <w:tc>
          <w:tcPr>
            <w:tcW w:w="3033" w:type="dxa"/>
          </w:tcPr>
          <w:p w:rsidR="00FE5DE7" w:rsidRPr="00186A8F" w:rsidRDefault="00FE5DE7" w:rsidP="00270A05">
            <w:pPr>
              <w:spacing w:after="0" w:line="240" w:lineRule="auto"/>
              <w:jc w:val="left"/>
              <w:rPr>
                <w:rFonts w:cs="Arial"/>
                <w:color w:val="000000"/>
                <w:lang w:eastAsia="ja-JP"/>
              </w:rPr>
            </w:pPr>
            <w:r w:rsidRPr="00186A8F">
              <w:rPr>
                <w:rFonts w:cs="Arial"/>
                <w:lang w:eastAsia="ja-JP"/>
              </w:rPr>
              <w:t xml:space="preserve">Notification </w:t>
            </w:r>
            <w:r>
              <w:rPr>
                <w:rFonts w:cs="Arial"/>
                <w:lang w:eastAsia="ja-JP"/>
              </w:rPr>
              <w:t xml:space="preserve">channel </w:t>
            </w:r>
            <w:r w:rsidRPr="00186A8F">
              <w:rPr>
                <w:rFonts w:cs="Arial"/>
                <w:lang w:eastAsia="ja-JP"/>
              </w:rPr>
              <w:t>of planned maintenance</w:t>
            </w:r>
          </w:p>
        </w:tc>
        <w:tc>
          <w:tcPr>
            <w:tcW w:w="3150" w:type="dxa"/>
          </w:tcPr>
          <w:p w:rsidR="00FE5DE7" w:rsidRPr="00186A8F" w:rsidRDefault="00FE5DE7" w:rsidP="00270A05">
            <w:pPr>
              <w:spacing w:after="0" w:line="240" w:lineRule="auto"/>
              <w:jc w:val="left"/>
              <w:rPr>
                <w:rFonts w:cs="Arial"/>
                <w:color w:val="000000"/>
                <w:lang w:eastAsia="ja-JP"/>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186A8F" w:rsidRDefault="00FE5DE7" w:rsidP="00270A05">
            <w:pPr>
              <w:spacing w:after="0" w:line="240" w:lineRule="auto"/>
              <w:jc w:val="left"/>
              <w:rPr>
                <w:rFonts w:cs="Arial"/>
                <w:color w:val="000000"/>
                <w:lang w:eastAsia="ja-JP"/>
              </w:rPr>
            </w:pPr>
            <w:r>
              <w:rPr>
                <w:rFonts w:cs="Arial"/>
                <w:color w:val="000000"/>
                <w:lang w:eastAsia="ja-JP"/>
              </w:rPr>
              <w:t>6b</w:t>
            </w:r>
          </w:p>
        </w:tc>
        <w:tc>
          <w:tcPr>
            <w:tcW w:w="3033" w:type="dxa"/>
          </w:tcPr>
          <w:p w:rsidR="00FE5DE7" w:rsidRPr="00186A8F" w:rsidRDefault="00FE5DE7" w:rsidP="00270A05">
            <w:pPr>
              <w:spacing w:after="0" w:line="240" w:lineRule="auto"/>
              <w:jc w:val="left"/>
              <w:rPr>
                <w:rFonts w:cs="Arial"/>
                <w:color w:val="000000"/>
                <w:lang w:eastAsia="ja-JP"/>
              </w:rPr>
            </w:pPr>
            <w:r w:rsidRPr="00186A8F">
              <w:rPr>
                <w:rFonts w:cs="Arial"/>
                <w:lang w:eastAsia="ja-JP"/>
              </w:rPr>
              <w:t xml:space="preserve">Notification </w:t>
            </w:r>
            <w:r>
              <w:rPr>
                <w:rFonts w:cs="Arial"/>
                <w:lang w:eastAsia="ja-JP"/>
              </w:rPr>
              <w:t xml:space="preserve">lead time </w:t>
            </w:r>
            <w:r w:rsidRPr="00186A8F">
              <w:rPr>
                <w:rFonts w:cs="Arial"/>
                <w:lang w:eastAsia="ja-JP"/>
              </w:rPr>
              <w:t>of planned maintenance</w:t>
            </w:r>
          </w:p>
        </w:tc>
        <w:tc>
          <w:tcPr>
            <w:tcW w:w="3150" w:type="dxa"/>
          </w:tcPr>
          <w:p w:rsidR="00FE5DE7" w:rsidRPr="00186A8F" w:rsidRDefault="00FE5DE7" w:rsidP="00270A05">
            <w:pPr>
              <w:spacing w:after="0" w:line="240" w:lineRule="auto"/>
              <w:jc w:val="left"/>
              <w:rPr>
                <w:rFonts w:cs="Arial"/>
                <w:color w:val="000000"/>
                <w:lang w:eastAsia="ja-JP"/>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186A8F" w:rsidRDefault="00FE5DE7" w:rsidP="00270A05">
            <w:pPr>
              <w:spacing w:after="0" w:line="240" w:lineRule="auto"/>
              <w:jc w:val="left"/>
              <w:rPr>
                <w:rFonts w:cs="Arial"/>
                <w:color w:val="000000"/>
                <w:lang w:eastAsia="ja-JP"/>
              </w:rPr>
            </w:pPr>
            <w:r>
              <w:rPr>
                <w:rFonts w:cs="Arial"/>
                <w:color w:val="000000"/>
                <w:lang w:eastAsia="ja-JP"/>
              </w:rPr>
              <w:t>7</w:t>
            </w:r>
          </w:p>
        </w:tc>
        <w:tc>
          <w:tcPr>
            <w:tcW w:w="3033" w:type="dxa"/>
          </w:tcPr>
          <w:p w:rsidR="00FE5DE7" w:rsidRPr="00186A8F" w:rsidRDefault="00FE5DE7" w:rsidP="00270A05">
            <w:pPr>
              <w:spacing w:after="0" w:line="240" w:lineRule="auto"/>
              <w:jc w:val="left"/>
              <w:rPr>
                <w:rFonts w:cs="Arial"/>
                <w:color w:val="000000"/>
                <w:lang w:eastAsia="ja-JP"/>
              </w:rPr>
            </w:pPr>
            <w:r>
              <w:rPr>
                <w:rFonts w:cs="Arial"/>
                <w:lang w:eastAsia="ja-JP"/>
              </w:rPr>
              <w:t>Frequency of health m</w:t>
            </w:r>
            <w:r w:rsidRPr="00186A8F">
              <w:rPr>
                <w:rFonts w:cs="Arial"/>
                <w:lang w:eastAsia="ja-JP"/>
              </w:rPr>
              <w:t>onitoring of cloud service</w:t>
            </w:r>
          </w:p>
        </w:tc>
        <w:tc>
          <w:tcPr>
            <w:tcW w:w="3150" w:type="dxa"/>
          </w:tcPr>
          <w:p w:rsidR="00FE5DE7" w:rsidRDefault="00FE5DE7" w:rsidP="00270A05">
            <w:pPr>
              <w:spacing w:after="0" w:line="240" w:lineRule="auto"/>
              <w:jc w:val="left"/>
              <w:rPr>
                <w:rFonts w:cs="Arial"/>
                <w:iCs/>
                <w:lang w:eastAsia="en-US"/>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8</w:t>
            </w:r>
          </w:p>
        </w:tc>
        <w:tc>
          <w:tcPr>
            <w:tcW w:w="3033" w:type="dxa"/>
          </w:tcPr>
          <w:p w:rsidR="00FE5DE7" w:rsidRPr="00186A8F" w:rsidRDefault="00FE5DE7" w:rsidP="00270A05">
            <w:pPr>
              <w:spacing w:after="0" w:line="240" w:lineRule="auto"/>
              <w:jc w:val="left"/>
              <w:rPr>
                <w:rFonts w:cs="Arial"/>
                <w:color w:val="000000"/>
                <w:lang w:eastAsia="ja-JP"/>
              </w:rPr>
            </w:pPr>
            <w:r w:rsidRPr="00186A8F">
              <w:rPr>
                <w:rFonts w:cs="Arial"/>
                <w:lang w:eastAsia="ja-JP"/>
              </w:rPr>
              <w:t xml:space="preserve">Availability of </w:t>
            </w:r>
            <w:r>
              <w:rPr>
                <w:rFonts w:cs="Arial"/>
                <w:lang w:eastAsia="ja-JP"/>
              </w:rPr>
              <w:t xml:space="preserve">health monitoring </w:t>
            </w:r>
            <w:r w:rsidRPr="00186A8F">
              <w:rPr>
                <w:rFonts w:cs="Arial"/>
                <w:lang w:eastAsia="ja-JP"/>
              </w:rPr>
              <w:t xml:space="preserve">mechanisms </w:t>
            </w:r>
            <w:r>
              <w:rPr>
                <w:rFonts w:cs="Arial"/>
                <w:lang w:eastAsia="ja-JP"/>
              </w:rPr>
              <w:t>for use by CSC</w:t>
            </w:r>
          </w:p>
        </w:tc>
        <w:tc>
          <w:tcPr>
            <w:tcW w:w="3150" w:type="dxa"/>
          </w:tcPr>
          <w:p w:rsidR="00FE5DE7" w:rsidRPr="00186A8F" w:rsidRDefault="00FE5DE7" w:rsidP="00270A05">
            <w:pPr>
              <w:spacing w:after="0" w:line="240" w:lineRule="auto"/>
              <w:jc w:val="left"/>
              <w:rPr>
                <w:rFonts w:cs="Arial"/>
                <w:color w:val="000000"/>
                <w:lang w:eastAsia="ja-JP"/>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9</w:t>
            </w:r>
          </w:p>
        </w:tc>
        <w:tc>
          <w:tcPr>
            <w:tcW w:w="3033" w:type="dxa"/>
          </w:tcPr>
          <w:p w:rsidR="00FE5DE7" w:rsidRPr="00186A8F" w:rsidRDefault="00FE5DE7" w:rsidP="00270A05">
            <w:pPr>
              <w:spacing w:after="0" w:line="240" w:lineRule="auto"/>
              <w:jc w:val="left"/>
              <w:rPr>
                <w:rFonts w:cs="Arial"/>
                <w:color w:val="000000"/>
                <w:lang w:eastAsia="ja-JP"/>
              </w:rPr>
            </w:pPr>
            <w:r w:rsidRPr="00186A8F">
              <w:rPr>
                <w:rFonts w:cs="Arial"/>
                <w:lang w:eastAsia="ja-JP"/>
              </w:rPr>
              <w:t>Sharing of CSP’s COIR plan</w:t>
            </w:r>
          </w:p>
        </w:tc>
        <w:tc>
          <w:tcPr>
            <w:tcW w:w="3150" w:type="dxa"/>
          </w:tcPr>
          <w:p w:rsidR="00FE5DE7" w:rsidRPr="00186A8F" w:rsidRDefault="00FE5DE7" w:rsidP="00270A05">
            <w:pPr>
              <w:spacing w:after="0" w:line="240" w:lineRule="auto"/>
              <w:jc w:val="left"/>
              <w:rPr>
                <w:rFonts w:cs="Arial"/>
                <w:color w:val="000000"/>
                <w:lang w:eastAsia="ja-JP"/>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10</w:t>
            </w:r>
          </w:p>
        </w:tc>
        <w:tc>
          <w:tcPr>
            <w:tcW w:w="3033"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Exercise of CSP’s COIR plan</w:t>
            </w:r>
          </w:p>
        </w:tc>
        <w:tc>
          <w:tcPr>
            <w:tcW w:w="3150" w:type="dxa"/>
          </w:tcPr>
          <w:p w:rsidR="00FE5DE7" w:rsidRPr="00186A8F" w:rsidRDefault="00FE5DE7" w:rsidP="00270A05">
            <w:pPr>
              <w:spacing w:after="0" w:line="240" w:lineRule="auto"/>
              <w:jc w:val="left"/>
              <w:rPr>
                <w:rFonts w:cs="Arial"/>
                <w:color w:val="000000"/>
                <w:lang w:eastAsia="ja-JP"/>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11</w:t>
            </w:r>
          </w:p>
        </w:tc>
        <w:tc>
          <w:tcPr>
            <w:tcW w:w="3033"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 xml:space="preserve">Notification </w:t>
            </w:r>
            <w:r>
              <w:rPr>
                <w:rFonts w:cs="Arial"/>
                <w:color w:val="000000"/>
                <w:lang w:eastAsia="ja-JP"/>
              </w:rPr>
              <w:t xml:space="preserve">time </w:t>
            </w:r>
            <w:r w:rsidRPr="00186A8F">
              <w:rPr>
                <w:rFonts w:cs="Arial"/>
                <w:color w:val="000000"/>
                <w:lang w:eastAsia="ja-JP"/>
              </w:rPr>
              <w:t>of cloud outage incident</w:t>
            </w:r>
          </w:p>
        </w:tc>
        <w:tc>
          <w:tcPr>
            <w:tcW w:w="3150" w:type="dxa"/>
          </w:tcPr>
          <w:p w:rsidR="00FE5DE7" w:rsidRPr="005C5EE5" w:rsidRDefault="00FE5DE7" w:rsidP="00270A05">
            <w:pPr>
              <w:spacing w:after="0" w:line="240" w:lineRule="auto"/>
              <w:jc w:val="left"/>
              <w:rPr>
                <w:rFonts w:cs="Arial"/>
                <w:iCs/>
                <w:lang w:eastAsia="en-US"/>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12</w:t>
            </w:r>
          </w:p>
        </w:tc>
        <w:tc>
          <w:tcPr>
            <w:tcW w:w="3033"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Communication channel used for notification of cloud outage incident</w:t>
            </w:r>
          </w:p>
        </w:tc>
        <w:tc>
          <w:tcPr>
            <w:tcW w:w="3150" w:type="dxa"/>
          </w:tcPr>
          <w:p w:rsidR="00FE5DE7" w:rsidRPr="005C5EE5" w:rsidRDefault="00FE5DE7" w:rsidP="00270A05">
            <w:pPr>
              <w:spacing w:after="0" w:line="240" w:lineRule="auto"/>
              <w:jc w:val="left"/>
              <w:rPr>
                <w:rFonts w:cs="Arial"/>
                <w:iCs/>
                <w:lang w:eastAsia="en-US"/>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13</w:t>
            </w:r>
          </w:p>
        </w:tc>
        <w:tc>
          <w:tcPr>
            <w:tcW w:w="3033"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 xml:space="preserve">Communication channel </w:t>
            </w:r>
            <w:r>
              <w:rPr>
                <w:rFonts w:cs="Arial"/>
                <w:color w:val="000000"/>
                <w:lang w:eastAsia="ja-JP"/>
              </w:rPr>
              <w:t xml:space="preserve">available for </w:t>
            </w:r>
            <w:r w:rsidRPr="00186A8F">
              <w:rPr>
                <w:rFonts w:cs="Arial"/>
                <w:color w:val="000000"/>
                <w:lang w:eastAsia="ja-JP"/>
              </w:rPr>
              <w:t xml:space="preserve">use by cloud user to </w:t>
            </w:r>
            <w:r>
              <w:rPr>
                <w:rFonts w:cs="Arial"/>
                <w:color w:val="000000"/>
                <w:lang w:eastAsia="ja-JP"/>
              </w:rPr>
              <w:t>report</w:t>
            </w:r>
            <w:r w:rsidRPr="00186A8F">
              <w:rPr>
                <w:rFonts w:cs="Arial"/>
                <w:color w:val="000000"/>
                <w:lang w:eastAsia="ja-JP"/>
              </w:rPr>
              <w:t xml:space="preserve"> cloud outage incident</w:t>
            </w:r>
          </w:p>
        </w:tc>
        <w:tc>
          <w:tcPr>
            <w:tcW w:w="3150" w:type="dxa"/>
          </w:tcPr>
          <w:p w:rsidR="00FE5DE7" w:rsidRPr="005C5EE5" w:rsidRDefault="00FE5DE7" w:rsidP="00270A05">
            <w:pPr>
              <w:spacing w:after="0" w:line="240" w:lineRule="auto"/>
              <w:jc w:val="left"/>
              <w:rPr>
                <w:rFonts w:cs="Arial"/>
                <w:iCs/>
                <w:lang w:eastAsia="en-US"/>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14</w:t>
            </w:r>
          </w:p>
        </w:tc>
        <w:tc>
          <w:tcPr>
            <w:tcW w:w="3033"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Response time by CSP</w:t>
            </w:r>
          </w:p>
        </w:tc>
        <w:tc>
          <w:tcPr>
            <w:tcW w:w="3150" w:type="dxa"/>
          </w:tcPr>
          <w:p w:rsidR="00FE5DE7" w:rsidRPr="005C5EE5" w:rsidRDefault="00FE5DE7" w:rsidP="00270A05">
            <w:pPr>
              <w:spacing w:after="0" w:line="240" w:lineRule="auto"/>
              <w:jc w:val="left"/>
              <w:rPr>
                <w:rFonts w:cs="Arial"/>
                <w:iCs/>
                <w:lang w:eastAsia="en-US"/>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15</w:t>
            </w:r>
          </w:p>
        </w:tc>
        <w:tc>
          <w:tcPr>
            <w:tcW w:w="3033"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 xml:space="preserve">Frequency of status update </w:t>
            </w:r>
            <w:r>
              <w:rPr>
                <w:rFonts w:cs="Arial"/>
                <w:color w:val="000000"/>
                <w:lang w:eastAsia="ja-JP"/>
              </w:rPr>
              <w:t>of reported outage</w:t>
            </w:r>
          </w:p>
        </w:tc>
        <w:tc>
          <w:tcPr>
            <w:tcW w:w="3150" w:type="dxa"/>
          </w:tcPr>
          <w:p w:rsidR="00FE5DE7" w:rsidRPr="005C5EE5" w:rsidRDefault="00FE5DE7" w:rsidP="00270A05">
            <w:pPr>
              <w:spacing w:after="0" w:line="240" w:lineRule="auto"/>
              <w:jc w:val="left"/>
              <w:rPr>
                <w:rFonts w:cs="Arial"/>
                <w:iCs/>
                <w:lang w:eastAsia="en-US"/>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562"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16</w:t>
            </w:r>
          </w:p>
        </w:tc>
        <w:tc>
          <w:tcPr>
            <w:tcW w:w="3033" w:type="dxa"/>
          </w:tcPr>
          <w:p w:rsidR="00FE5DE7" w:rsidRPr="00186A8F" w:rsidRDefault="00FE5DE7" w:rsidP="00270A05">
            <w:pPr>
              <w:spacing w:after="0" w:line="240" w:lineRule="auto"/>
              <w:jc w:val="left"/>
              <w:rPr>
                <w:rFonts w:cs="Arial"/>
                <w:color w:val="000000"/>
                <w:lang w:eastAsia="ja-JP"/>
              </w:rPr>
            </w:pPr>
            <w:r w:rsidRPr="00186A8F">
              <w:rPr>
                <w:rFonts w:cs="Arial"/>
                <w:color w:val="000000"/>
                <w:lang w:eastAsia="ja-JP"/>
              </w:rPr>
              <w:t>Channel of communication used for status update</w:t>
            </w:r>
          </w:p>
        </w:tc>
        <w:tc>
          <w:tcPr>
            <w:tcW w:w="3150" w:type="dxa"/>
          </w:tcPr>
          <w:p w:rsidR="00FE5DE7" w:rsidRPr="005C5EE5" w:rsidRDefault="00FE5DE7" w:rsidP="00270A05">
            <w:pPr>
              <w:spacing w:after="0" w:line="240" w:lineRule="auto"/>
              <w:jc w:val="left"/>
              <w:rPr>
                <w:rFonts w:cs="Arial"/>
                <w:iCs/>
                <w:lang w:eastAsia="en-US"/>
              </w:rPr>
            </w:pPr>
          </w:p>
        </w:tc>
        <w:tc>
          <w:tcPr>
            <w:tcW w:w="2274" w:type="dxa"/>
          </w:tcPr>
          <w:p w:rsidR="00FE5DE7" w:rsidRPr="00186A8F" w:rsidRDefault="00FE5DE7" w:rsidP="00270A05">
            <w:pPr>
              <w:spacing w:after="0" w:line="240" w:lineRule="auto"/>
              <w:jc w:val="left"/>
              <w:rPr>
                <w:rFonts w:cs="Arial"/>
                <w:color w:val="000000"/>
                <w:lang w:eastAsia="ja-JP"/>
              </w:rPr>
            </w:pPr>
          </w:p>
        </w:tc>
      </w:tr>
      <w:tr w:rsidR="00FE5DE7" w:rsidRPr="00186A8F" w:rsidTr="00FE5DE7">
        <w:tc>
          <w:tcPr>
            <w:tcW w:w="9019" w:type="dxa"/>
            <w:gridSpan w:val="4"/>
          </w:tcPr>
          <w:p w:rsidR="00FE5DE7" w:rsidRPr="00186A8F" w:rsidRDefault="00FE5DE7" w:rsidP="00270A05">
            <w:pPr>
              <w:spacing w:after="0" w:line="240" w:lineRule="auto"/>
              <w:jc w:val="left"/>
              <w:rPr>
                <w:rFonts w:cs="Arial"/>
                <w:color w:val="000000"/>
                <w:lang w:eastAsia="ja-JP"/>
              </w:rPr>
            </w:pPr>
            <w:r>
              <w:rPr>
                <w:rFonts w:cs="Arial"/>
                <w:color w:val="000000"/>
                <w:lang w:eastAsia="ja-JP"/>
              </w:rPr>
              <w:t>Notes</w:t>
            </w:r>
            <w:r w:rsidRPr="00186A8F">
              <w:rPr>
                <w:rFonts w:cs="Arial"/>
                <w:color w:val="000000"/>
                <w:lang w:eastAsia="ja-JP"/>
              </w:rPr>
              <w:t>:</w:t>
            </w:r>
          </w:p>
          <w:p w:rsidR="00FE5DE7" w:rsidRPr="00186A8F" w:rsidRDefault="00FE5DE7" w:rsidP="00270A05">
            <w:pPr>
              <w:spacing w:after="0" w:line="240" w:lineRule="auto"/>
              <w:jc w:val="left"/>
              <w:rPr>
                <w:rFonts w:cs="Arial"/>
                <w:color w:val="000000"/>
                <w:lang w:eastAsia="ja-JP"/>
              </w:rPr>
            </w:pPr>
          </w:p>
          <w:p w:rsidR="00FE5DE7" w:rsidRPr="00734968" w:rsidRDefault="00FE5DE7" w:rsidP="00FE5DE7">
            <w:pPr>
              <w:pStyle w:val="ListParagraph"/>
              <w:numPr>
                <w:ilvl w:val="0"/>
                <w:numId w:val="1"/>
              </w:numPr>
              <w:spacing w:after="0" w:line="240" w:lineRule="auto"/>
              <w:jc w:val="left"/>
              <w:rPr>
                <w:rFonts w:cs="Arial"/>
                <w:color w:val="000000"/>
                <w:lang w:eastAsia="ja-JP"/>
              </w:rPr>
            </w:pPr>
            <w:r w:rsidRPr="00734968">
              <w:rPr>
                <w:rFonts w:cs="Arial"/>
                <w:color w:val="000000"/>
                <w:lang w:eastAsia="ja-JP"/>
              </w:rPr>
              <w:t xml:space="preserve">For each service disclosed, CSPs may choose to identify the closest COIR category to disclose their existing operating COIR practices for each parameter. CSPs are not expected to change their current outage protection practices to meet the </w:t>
            </w:r>
            <w:r>
              <w:rPr>
                <w:rFonts w:cs="Arial"/>
                <w:color w:val="000000"/>
                <w:lang w:eastAsia="ja-JP"/>
              </w:rPr>
              <w:t>indicative</w:t>
            </w:r>
            <w:r w:rsidRPr="00734968">
              <w:rPr>
                <w:rFonts w:cs="Arial"/>
                <w:color w:val="000000"/>
                <w:lang w:eastAsia="ja-JP"/>
              </w:rPr>
              <w:t xml:space="preserve"> value of the categories for the parameters. </w:t>
            </w:r>
          </w:p>
          <w:p w:rsidR="00FE5DE7" w:rsidRPr="00734968" w:rsidRDefault="00FE5DE7" w:rsidP="00FE5DE7">
            <w:pPr>
              <w:pStyle w:val="ListParagraph"/>
              <w:numPr>
                <w:ilvl w:val="0"/>
                <w:numId w:val="1"/>
              </w:numPr>
              <w:spacing w:after="0" w:line="240" w:lineRule="auto"/>
              <w:jc w:val="left"/>
              <w:rPr>
                <w:rFonts w:cs="Arial"/>
                <w:color w:val="000000"/>
                <w:lang w:eastAsia="ja-JP"/>
              </w:rPr>
            </w:pPr>
            <w:r w:rsidRPr="00734968">
              <w:rPr>
                <w:rFonts w:cs="Arial"/>
                <w:color w:val="000000"/>
                <w:lang w:eastAsia="ja-JP"/>
              </w:rPr>
              <w:t xml:space="preserve">CSPs can highlight any derivations from the category’s </w:t>
            </w:r>
            <w:r>
              <w:rPr>
                <w:rFonts w:cs="Arial"/>
                <w:color w:val="000000"/>
                <w:lang w:eastAsia="ja-JP"/>
              </w:rPr>
              <w:t>indicative</w:t>
            </w:r>
            <w:r w:rsidRPr="00734968">
              <w:rPr>
                <w:rFonts w:cs="Arial"/>
                <w:color w:val="000000"/>
                <w:lang w:eastAsia="ja-JP"/>
              </w:rPr>
              <w:t xml:space="preserve"> value of the parameters in the Remark column. The differences could include values that are better than the </w:t>
            </w:r>
            <w:r>
              <w:rPr>
                <w:rFonts w:cs="Arial"/>
                <w:color w:val="000000"/>
                <w:lang w:eastAsia="ja-JP"/>
              </w:rPr>
              <w:t>indicative</w:t>
            </w:r>
            <w:r w:rsidRPr="00734968">
              <w:rPr>
                <w:rFonts w:cs="Arial"/>
                <w:color w:val="000000"/>
                <w:lang w:eastAsia="ja-JP"/>
              </w:rPr>
              <w:t xml:space="preserve"> or multiple values that are associated with different costs.</w:t>
            </w:r>
          </w:p>
          <w:p w:rsidR="00FE5DE7" w:rsidRPr="00734968" w:rsidRDefault="00FE5DE7" w:rsidP="00FE5DE7">
            <w:pPr>
              <w:pStyle w:val="ListParagraph"/>
              <w:numPr>
                <w:ilvl w:val="0"/>
                <w:numId w:val="1"/>
              </w:numPr>
              <w:spacing w:after="0" w:line="240" w:lineRule="auto"/>
              <w:jc w:val="left"/>
              <w:rPr>
                <w:rFonts w:cs="Arial"/>
                <w:color w:val="000000"/>
                <w:lang w:eastAsia="ja-JP"/>
              </w:rPr>
            </w:pPr>
            <w:r w:rsidRPr="00734968">
              <w:rPr>
                <w:rFonts w:cs="Arial"/>
                <w:color w:val="000000"/>
                <w:lang w:eastAsia="ja-JP"/>
              </w:rPr>
              <w:t>For bespoke cloud services, CSPs may refer to similar past/exemplary implementations to declare the COIR parameters.</w:t>
            </w:r>
          </w:p>
        </w:tc>
      </w:tr>
    </w:tbl>
    <w:p w:rsidR="009708B1" w:rsidRPr="0043762C" w:rsidRDefault="009708B1">
      <w:pPr>
        <w:rPr>
          <w:b/>
        </w:rPr>
      </w:pPr>
    </w:p>
    <w:p w:rsidR="0043762C" w:rsidRPr="0043762C" w:rsidRDefault="0043762C">
      <w:pPr>
        <w:rPr>
          <w:b/>
        </w:rPr>
      </w:pPr>
      <w:r w:rsidRPr="0043762C">
        <w:rPr>
          <w:b/>
        </w:rPr>
        <w:t>Detailed Description of COIR Parameters:</w:t>
      </w:r>
    </w:p>
    <w:tbl>
      <w:tblPr>
        <w:tblStyle w:val="TableGrid21"/>
        <w:tblW w:w="8820" w:type="dxa"/>
        <w:tblInd w:w="85" w:type="dxa"/>
        <w:tblLayout w:type="fixed"/>
        <w:tblLook w:val="04A0" w:firstRow="1" w:lastRow="0" w:firstColumn="1" w:lastColumn="0" w:noHBand="0" w:noVBand="1"/>
      </w:tblPr>
      <w:tblGrid>
        <w:gridCol w:w="540"/>
        <w:gridCol w:w="2340"/>
        <w:gridCol w:w="5940"/>
      </w:tblGrid>
      <w:tr w:rsidR="0043762C" w:rsidRPr="0043762C" w:rsidTr="00E7061F">
        <w:trPr>
          <w:tblHeader/>
        </w:trPr>
        <w:tc>
          <w:tcPr>
            <w:tcW w:w="540" w:type="dxa"/>
          </w:tcPr>
          <w:p w:rsidR="0043762C" w:rsidRPr="0043762C" w:rsidRDefault="0043762C" w:rsidP="0043762C">
            <w:pPr>
              <w:spacing w:after="0" w:line="240" w:lineRule="auto"/>
              <w:jc w:val="left"/>
              <w:rPr>
                <w:rFonts w:cs="Arial"/>
                <w:b/>
                <w:lang w:eastAsia="ja-JP"/>
              </w:rPr>
            </w:pPr>
            <w:r w:rsidRPr="0043762C">
              <w:rPr>
                <w:rFonts w:cs="Arial"/>
                <w:b/>
                <w:lang w:eastAsia="ja-JP"/>
              </w:rPr>
              <w:t>No.</w:t>
            </w:r>
          </w:p>
        </w:tc>
        <w:tc>
          <w:tcPr>
            <w:tcW w:w="2340" w:type="dxa"/>
          </w:tcPr>
          <w:p w:rsidR="0043762C" w:rsidRPr="0043762C" w:rsidRDefault="0043762C" w:rsidP="0043762C">
            <w:pPr>
              <w:spacing w:after="0" w:line="240" w:lineRule="auto"/>
              <w:jc w:val="left"/>
              <w:rPr>
                <w:rFonts w:cs="Arial"/>
                <w:b/>
                <w:lang w:eastAsia="ja-JP"/>
              </w:rPr>
            </w:pPr>
            <w:r w:rsidRPr="0043762C">
              <w:rPr>
                <w:rFonts w:cs="Arial"/>
                <w:b/>
                <w:lang w:eastAsia="ja-JP"/>
              </w:rPr>
              <w:t>Parameter</w:t>
            </w:r>
          </w:p>
        </w:tc>
        <w:tc>
          <w:tcPr>
            <w:tcW w:w="5940" w:type="dxa"/>
          </w:tcPr>
          <w:p w:rsidR="0043762C" w:rsidRPr="0043762C" w:rsidRDefault="0043762C" w:rsidP="0043762C">
            <w:pPr>
              <w:spacing w:after="0" w:line="240" w:lineRule="auto"/>
              <w:jc w:val="left"/>
              <w:rPr>
                <w:rFonts w:cs="Arial"/>
                <w:b/>
                <w:lang w:eastAsia="ja-JP"/>
              </w:rPr>
            </w:pPr>
            <w:r w:rsidRPr="0043762C">
              <w:rPr>
                <w:rFonts w:cs="Arial"/>
                <w:b/>
                <w:lang w:eastAsia="ja-JP"/>
              </w:rPr>
              <w:t>Description</w:t>
            </w:r>
          </w:p>
        </w:tc>
      </w:tr>
      <w:tr w:rsidR="0043762C" w:rsidRPr="0043762C" w:rsidTr="00E7061F">
        <w:tc>
          <w:tcPr>
            <w:tcW w:w="8820" w:type="dxa"/>
            <w:gridSpan w:val="3"/>
          </w:tcPr>
          <w:p w:rsidR="0043762C" w:rsidRPr="0043762C" w:rsidRDefault="0043762C" w:rsidP="0043762C">
            <w:pPr>
              <w:spacing w:after="0" w:line="240" w:lineRule="auto"/>
              <w:jc w:val="left"/>
              <w:rPr>
                <w:rFonts w:cs="Arial"/>
                <w:lang w:eastAsia="ja-JP"/>
              </w:rPr>
            </w:pPr>
            <w:r w:rsidRPr="0043762C">
              <w:rPr>
                <w:rFonts w:cs="Arial"/>
                <w:lang w:eastAsia="ja-JP"/>
              </w:rPr>
              <w:t>Availability and resiliency</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1</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Service availability %</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Availability of subscribed cloud service in percentage =</w:t>
            </w:r>
          </w:p>
          <w:p w:rsidR="0043762C" w:rsidRPr="0043762C" w:rsidRDefault="0043762C" w:rsidP="0043762C">
            <w:pPr>
              <w:spacing w:after="0" w:line="240" w:lineRule="auto"/>
              <w:jc w:val="left"/>
              <w:rPr>
                <w:rFonts w:cs="Arial"/>
                <w:lang w:eastAsia="ja-JP"/>
              </w:rPr>
            </w:pPr>
            <w:r w:rsidRPr="0043762C">
              <w:rPr>
                <w:rFonts w:cs="Arial"/>
                <w:lang w:eastAsia="ja-JP"/>
              </w:rPr>
              <w:t>((Total hours per year – Planned maintenance time – Unplanned outage period) X 100%)</w:t>
            </w:r>
            <w:proofErr w:type="gramStart"/>
            <w:r w:rsidRPr="0043762C">
              <w:rPr>
                <w:rFonts w:cs="Arial"/>
                <w:lang w:eastAsia="ja-JP"/>
              </w:rPr>
              <w:t>/(</w:t>
            </w:r>
            <w:proofErr w:type="gramEnd"/>
            <w:r w:rsidRPr="0043762C">
              <w:rPr>
                <w:rFonts w:cs="Arial"/>
                <w:lang w:eastAsia="ja-JP"/>
              </w:rPr>
              <w:t>Total hours per year – Planned maintenance time).</w:t>
            </w:r>
          </w:p>
          <w:p w:rsidR="0043762C" w:rsidRPr="0043762C" w:rsidRDefault="0043762C" w:rsidP="0043762C">
            <w:pPr>
              <w:spacing w:after="0" w:line="240" w:lineRule="auto"/>
              <w:jc w:val="left"/>
              <w:rPr>
                <w:rFonts w:cs="Arial"/>
                <w:lang w:eastAsia="ja-JP"/>
              </w:rPr>
            </w:pPr>
          </w:p>
          <w:p w:rsidR="0043762C" w:rsidRPr="0043762C" w:rsidRDefault="0043762C" w:rsidP="0043762C">
            <w:pPr>
              <w:spacing w:after="0" w:line="240" w:lineRule="auto"/>
              <w:jc w:val="left"/>
              <w:rPr>
                <w:rFonts w:cs="Arial"/>
                <w:lang w:eastAsia="ja-JP"/>
              </w:rPr>
            </w:pPr>
            <w:r w:rsidRPr="0043762C">
              <w:rPr>
                <w:rFonts w:cs="Arial"/>
                <w:lang w:eastAsia="ja-JP"/>
              </w:rPr>
              <w:t>Note 1 – Availability is a recommended SLO (10.3.2) in the Availability components in ISO/IEC 19086-3.</w:t>
            </w:r>
          </w:p>
          <w:p w:rsidR="0043762C" w:rsidRPr="0043762C" w:rsidRDefault="0043762C" w:rsidP="0043762C">
            <w:pPr>
              <w:spacing w:after="0" w:line="240" w:lineRule="auto"/>
              <w:jc w:val="left"/>
              <w:rPr>
                <w:rFonts w:cs="Arial"/>
                <w:lang w:eastAsia="ja-JP"/>
              </w:rPr>
            </w:pPr>
            <w:r w:rsidRPr="0043762C">
              <w:rPr>
                <w:rFonts w:cs="Arial"/>
                <w:lang w:eastAsia="ja-JP"/>
              </w:rPr>
              <w:t>Note 2 – Planned maintenance time refers to scheduled down time during the maintenance period.</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2</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Historical record of availability</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A period of time for which the historical records detailing the actual availability of subscribed cloud service maintained by the CSP.</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3</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Recovery time objective (RTO)</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Overall time taken by CSP to resolve the incident and recover the subscribed cloud service.</w:t>
            </w:r>
          </w:p>
          <w:p w:rsidR="0043762C" w:rsidRPr="0043762C" w:rsidRDefault="0043762C" w:rsidP="0043762C">
            <w:pPr>
              <w:spacing w:after="0" w:line="240" w:lineRule="auto"/>
              <w:jc w:val="left"/>
              <w:rPr>
                <w:rFonts w:cs="Arial"/>
                <w:lang w:eastAsia="ja-JP"/>
              </w:rPr>
            </w:pPr>
          </w:p>
          <w:p w:rsidR="0043762C" w:rsidRPr="0043762C" w:rsidRDefault="0043762C" w:rsidP="0043762C">
            <w:pPr>
              <w:spacing w:after="0" w:line="240" w:lineRule="auto"/>
              <w:jc w:val="left"/>
              <w:rPr>
                <w:rFonts w:cs="Arial"/>
                <w:lang w:eastAsia="ja-JP"/>
              </w:rPr>
            </w:pPr>
            <w:r w:rsidRPr="0043762C">
              <w:rPr>
                <w:rFonts w:cs="Arial"/>
                <w:lang w:eastAsia="ja-JP"/>
              </w:rPr>
              <w:t>Note – This COIR parameter is equivalent to the RTO SLO (10.11.4.2) recommended in the Disaster recovery component in ISO/IEC 19086-3.</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4</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Recovery point objective (RPO)</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Maximum time up to which data might be lost due to an incident.</w:t>
            </w:r>
          </w:p>
          <w:p w:rsidR="0043762C" w:rsidRPr="0043762C" w:rsidRDefault="0043762C" w:rsidP="0043762C">
            <w:pPr>
              <w:spacing w:after="0" w:line="240" w:lineRule="auto"/>
              <w:jc w:val="left"/>
              <w:rPr>
                <w:rFonts w:cs="Arial"/>
                <w:lang w:eastAsia="ja-JP"/>
              </w:rPr>
            </w:pPr>
          </w:p>
          <w:p w:rsidR="0043762C" w:rsidRPr="0043762C" w:rsidRDefault="0043762C" w:rsidP="0043762C">
            <w:pPr>
              <w:spacing w:after="0" w:line="240" w:lineRule="auto"/>
              <w:jc w:val="left"/>
              <w:rPr>
                <w:rFonts w:cs="Arial"/>
                <w:lang w:eastAsia="ja-JP"/>
              </w:rPr>
            </w:pPr>
            <w:r w:rsidRPr="0043762C">
              <w:rPr>
                <w:rFonts w:cs="Arial"/>
                <w:lang w:eastAsia="ja-JP"/>
              </w:rPr>
              <w:t>Note – This COIR parameter is equivalent to the RPO SLO (10.11.4.3) recommended in the Disaster recovery component in ISO/IEC 19086-3.</w:t>
            </w:r>
          </w:p>
        </w:tc>
      </w:tr>
      <w:tr w:rsidR="0043762C" w:rsidRPr="0043762C" w:rsidTr="00E7061F">
        <w:tc>
          <w:tcPr>
            <w:tcW w:w="8820" w:type="dxa"/>
            <w:gridSpan w:val="3"/>
          </w:tcPr>
          <w:p w:rsidR="0043762C" w:rsidRPr="0043762C" w:rsidRDefault="0043762C" w:rsidP="0043762C">
            <w:pPr>
              <w:spacing w:after="0" w:line="240" w:lineRule="auto"/>
              <w:jc w:val="left"/>
              <w:rPr>
                <w:rFonts w:cs="Arial"/>
                <w:lang w:eastAsia="ja-JP"/>
              </w:rPr>
            </w:pPr>
            <w:r w:rsidRPr="0043762C">
              <w:rPr>
                <w:rFonts w:cs="Arial"/>
                <w:lang w:eastAsia="ja-JP"/>
              </w:rPr>
              <w:t>Support and planned maintenance</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5</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Support hours</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Period where CSC is able to obtain support from CSP.</w:t>
            </w:r>
          </w:p>
          <w:p w:rsidR="0043762C" w:rsidRPr="0043762C" w:rsidRDefault="0043762C" w:rsidP="0043762C">
            <w:pPr>
              <w:spacing w:after="0" w:line="240" w:lineRule="auto"/>
              <w:jc w:val="left"/>
              <w:rPr>
                <w:rFonts w:cs="Arial"/>
                <w:lang w:eastAsia="ja-JP"/>
              </w:rPr>
            </w:pPr>
          </w:p>
          <w:p w:rsidR="0043762C" w:rsidRPr="0043762C" w:rsidRDefault="0043762C" w:rsidP="0043762C">
            <w:pPr>
              <w:spacing w:after="0" w:line="240" w:lineRule="auto"/>
              <w:jc w:val="left"/>
              <w:rPr>
                <w:rFonts w:cs="Arial"/>
                <w:lang w:eastAsia="ja-JP"/>
              </w:rPr>
            </w:pPr>
            <w:r w:rsidRPr="0043762C">
              <w:rPr>
                <w:rFonts w:cs="Arial"/>
                <w:lang w:eastAsia="ja-JP"/>
              </w:rPr>
              <w:t>Note – This COIR parameter is equivalent to the Support hours SLO (10.8.2) recommended in the Cloud service support component in ISO/IEC 19086-3.</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6a</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Notification channel of planned maintenance*</w:t>
            </w:r>
          </w:p>
          <w:p w:rsidR="0043762C" w:rsidRPr="0043762C" w:rsidRDefault="0043762C" w:rsidP="0043762C">
            <w:pPr>
              <w:spacing w:after="0" w:line="240" w:lineRule="auto"/>
              <w:jc w:val="left"/>
              <w:rPr>
                <w:rFonts w:cs="Arial"/>
                <w:lang w:eastAsia="ja-JP"/>
              </w:rPr>
            </w:pP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Available channel(s) used for communicating the planned maintenance which affects subscribed service used by the CSCs.</w:t>
            </w:r>
          </w:p>
          <w:p w:rsidR="0043762C" w:rsidRPr="0043762C" w:rsidRDefault="0043762C" w:rsidP="0043762C">
            <w:pPr>
              <w:spacing w:after="0" w:line="240" w:lineRule="auto"/>
              <w:jc w:val="left"/>
              <w:rPr>
                <w:rFonts w:cs="Arial"/>
                <w:lang w:eastAsia="ja-JP"/>
              </w:rPr>
            </w:pPr>
          </w:p>
          <w:p w:rsidR="0043762C" w:rsidRPr="0043762C" w:rsidRDefault="0043762C" w:rsidP="0043762C">
            <w:pPr>
              <w:spacing w:after="0" w:line="240" w:lineRule="auto"/>
              <w:jc w:val="left"/>
              <w:rPr>
                <w:rFonts w:cs="Arial"/>
                <w:lang w:eastAsia="ja-JP"/>
              </w:rPr>
            </w:pPr>
            <w:r w:rsidRPr="0043762C">
              <w:rPr>
                <w:rFonts w:cs="Arial"/>
                <w:lang w:eastAsia="ja-JP"/>
              </w:rPr>
              <w:t>Note – This COIR parameter is equivalent to the Service change notification method SQO (10.10.4) in the Changes to the cloud service features and functionality component recommended in ISO/IEC 19086-3.</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6b</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Notification lead time of planned maintenance</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A period of time prior to the planned maintenance which affects the subscribed service used to the CSCs.</w:t>
            </w:r>
          </w:p>
          <w:p w:rsidR="0043762C" w:rsidRPr="0043762C" w:rsidRDefault="0043762C" w:rsidP="0043762C">
            <w:pPr>
              <w:spacing w:after="0" w:line="240" w:lineRule="auto"/>
              <w:jc w:val="left"/>
              <w:rPr>
                <w:rFonts w:cs="Arial"/>
                <w:lang w:eastAsia="ja-JP"/>
              </w:rPr>
            </w:pPr>
          </w:p>
          <w:p w:rsidR="0043762C" w:rsidRPr="0043762C" w:rsidRDefault="0043762C" w:rsidP="0043762C">
            <w:pPr>
              <w:spacing w:after="0" w:line="240" w:lineRule="auto"/>
              <w:jc w:val="left"/>
              <w:rPr>
                <w:rFonts w:cs="Arial"/>
                <w:lang w:eastAsia="ja-JP"/>
              </w:rPr>
            </w:pPr>
            <w:r w:rsidRPr="0043762C">
              <w:rPr>
                <w:rFonts w:cs="Arial"/>
                <w:lang w:eastAsia="ja-JP"/>
              </w:rPr>
              <w:t>Note – This COIR parameter is equivalent to the Minimum service change notification period SLO (10.10.2) in the Changes to the cloud service features and functionality component recommended in ISO/IEC 19086-3. See also parameter no. 9.</w:t>
            </w:r>
          </w:p>
        </w:tc>
      </w:tr>
      <w:tr w:rsidR="0043762C" w:rsidRPr="0043762C" w:rsidTr="00E7061F">
        <w:tc>
          <w:tcPr>
            <w:tcW w:w="8820" w:type="dxa"/>
            <w:gridSpan w:val="3"/>
          </w:tcPr>
          <w:p w:rsidR="0043762C" w:rsidRPr="0043762C" w:rsidRDefault="0043762C" w:rsidP="0043762C">
            <w:pPr>
              <w:spacing w:after="0" w:line="240" w:lineRule="auto"/>
              <w:jc w:val="left"/>
              <w:rPr>
                <w:rFonts w:cs="Arial"/>
                <w:lang w:eastAsia="ja-JP"/>
              </w:rPr>
            </w:pPr>
            <w:r w:rsidRPr="0043762C">
              <w:rPr>
                <w:rFonts w:cs="Arial"/>
                <w:lang w:eastAsia="ja-JP"/>
              </w:rPr>
              <w:t>Health monitoring</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7</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Frequency of health monitoring of cloud service</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Frequency of activity performed by the CSP to check the health of the subscribed service. The component for checking may include:</w:t>
            </w:r>
          </w:p>
          <w:p w:rsidR="0043762C" w:rsidRPr="0043762C" w:rsidRDefault="0043762C" w:rsidP="0043762C">
            <w:pPr>
              <w:numPr>
                <w:ilvl w:val="0"/>
                <w:numId w:val="2"/>
              </w:numPr>
              <w:spacing w:after="0" w:line="240" w:lineRule="auto"/>
              <w:contextualSpacing/>
              <w:jc w:val="left"/>
              <w:rPr>
                <w:rFonts w:cs="Arial"/>
                <w:lang w:eastAsia="ja-JP"/>
              </w:rPr>
            </w:pPr>
            <w:r w:rsidRPr="0043762C">
              <w:rPr>
                <w:rFonts w:cs="Arial"/>
                <w:lang w:eastAsia="ja-JP"/>
              </w:rPr>
              <w:t>Hardware/Software/Network Health</w:t>
            </w:r>
          </w:p>
          <w:p w:rsidR="0043762C" w:rsidRPr="0043762C" w:rsidRDefault="0043762C" w:rsidP="0043762C">
            <w:pPr>
              <w:numPr>
                <w:ilvl w:val="0"/>
                <w:numId w:val="2"/>
              </w:numPr>
              <w:spacing w:after="0" w:line="240" w:lineRule="auto"/>
              <w:contextualSpacing/>
              <w:jc w:val="left"/>
              <w:rPr>
                <w:rFonts w:cs="Arial"/>
                <w:lang w:eastAsia="ja-JP"/>
              </w:rPr>
            </w:pPr>
            <w:r w:rsidRPr="0043762C">
              <w:rPr>
                <w:rFonts w:cs="Arial"/>
                <w:lang w:eastAsia="ja-JP"/>
              </w:rPr>
              <w:t>Hardware/Software/Network Capacity</w:t>
            </w:r>
          </w:p>
          <w:p w:rsidR="0043762C" w:rsidRPr="0043762C" w:rsidRDefault="0043762C" w:rsidP="0043762C">
            <w:pPr>
              <w:numPr>
                <w:ilvl w:val="0"/>
                <w:numId w:val="2"/>
              </w:numPr>
              <w:spacing w:after="0" w:line="240" w:lineRule="auto"/>
              <w:contextualSpacing/>
              <w:jc w:val="left"/>
              <w:rPr>
                <w:rFonts w:cs="Arial"/>
                <w:lang w:eastAsia="ja-JP"/>
              </w:rPr>
            </w:pPr>
            <w:r w:rsidRPr="0043762C">
              <w:rPr>
                <w:rFonts w:cs="Arial"/>
                <w:lang w:eastAsia="ja-JP"/>
              </w:rPr>
              <w:t>Contractual SLA/KPIs</w:t>
            </w:r>
          </w:p>
          <w:p w:rsidR="0043762C" w:rsidRPr="0043762C" w:rsidRDefault="0043762C" w:rsidP="0043762C">
            <w:pPr>
              <w:spacing w:after="0" w:line="240" w:lineRule="auto"/>
              <w:contextualSpacing/>
              <w:jc w:val="left"/>
              <w:rPr>
                <w:rFonts w:cs="Arial"/>
                <w:lang w:eastAsia="ja-JP"/>
              </w:rPr>
            </w:pPr>
          </w:p>
          <w:p w:rsidR="0043762C" w:rsidRPr="0043762C" w:rsidRDefault="0043762C" w:rsidP="0043762C">
            <w:pPr>
              <w:spacing w:after="0" w:line="240" w:lineRule="auto"/>
              <w:contextualSpacing/>
              <w:jc w:val="left"/>
              <w:rPr>
                <w:rFonts w:cs="Arial"/>
                <w:lang w:eastAsia="ja-JP"/>
              </w:rPr>
            </w:pPr>
            <w:r w:rsidRPr="0043762C">
              <w:rPr>
                <w:rFonts w:cs="Arial"/>
                <w:lang w:eastAsia="ja-JP"/>
              </w:rPr>
              <w:t>Note –</w:t>
            </w:r>
            <w:r w:rsidRPr="0043762C">
              <w:t xml:space="preserve"> </w:t>
            </w:r>
            <w:r w:rsidRPr="0043762C">
              <w:rPr>
                <w:rFonts w:cs="Arial"/>
                <w:lang w:eastAsia="ja-JP"/>
              </w:rPr>
              <w:t>This COIR parameter is equivalent to the Monitoring parameters SQO (9.4.2) in Service monitoring component recommended in ISO/IEC 19086-3. However, ISO/IEC 19086-3 does not specifically identify frequency as one of the parameters.</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8</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Availability of health monitoring mechanisms for use by CSC*</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Available mechanism(s) provided by CSPs to CSC for health monitoring of the subscribed cloud service.</w:t>
            </w:r>
          </w:p>
          <w:p w:rsidR="0043762C" w:rsidRPr="0043762C" w:rsidRDefault="0043762C" w:rsidP="0043762C">
            <w:pPr>
              <w:spacing w:after="0" w:line="240" w:lineRule="auto"/>
              <w:jc w:val="left"/>
              <w:rPr>
                <w:rFonts w:cs="Arial"/>
                <w:lang w:eastAsia="ja-JP"/>
              </w:rPr>
            </w:pPr>
          </w:p>
          <w:p w:rsidR="0043762C" w:rsidRPr="0043762C" w:rsidRDefault="0043762C" w:rsidP="0043762C">
            <w:pPr>
              <w:spacing w:after="0" w:line="240" w:lineRule="auto"/>
              <w:jc w:val="left"/>
              <w:rPr>
                <w:rFonts w:cs="Arial"/>
                <w:lang w:eastAsia="ja-JP"/>
              </w:rPr>
            </w:pPr>
            <w:r w:rsidRPr="0043762C">
              <w:rPr>
                <w:rFonts w:cs="Arial"/>
                <w:lang w:eastAsia="ja-JP"/>
              </w:rPr>
              <w:t>Note – This COIR parameter is equivalent to the Monitoring mechanisms SQO (9.4.3) in the Service monitoring component recommended in ISO/IEC 19086-3.</w:t>
            </w:r>
          </w:p>
        </w:tc>
      </w:tr>
      <w:tr w:rsidR="0043762C" w:rsidRPr="0043762C" w:rsidTr="00E7061F">
        <w:tc>
          <w:tcPr>
            <w:tcW w:w="8820" w:type="dxa"/>
            <w:gridSpan w:val="3"/>
          </w:tcPr>
          <w:p w:rsidR="0043762C" w:rsidRPr="0043762C" w:rsidRDefault="0043762C" w:rsidP="0043762C">
            <w:pPr>
              <w:spacing w:after="0" w:line="240" w:lineRule="auto"/>
              <w:jc w:val="left"/>
              <w:rPr>
                <w:rFonts w:cs="Arial"/>
                <w:lang w:eastAsia="ja-JP"/>
              </w:rPr>
            </w:pPr>
            <w:r w:rsidRPr="0043762C">
              <w:rPr>
                <w:rFonts w:cs="Arial"/>
                <w:lang w:eastAsia="ja-JP"/>
              </w:rPr>
              <w:t>Outage response plan</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9</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Sharing of CSP’s COIR plan</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Sharing of a detailed plan defining the roles and responsibilities, notification protocol and various steps to be taken to respond to an incident outage by the CSP. This parameter defines whether this plan should be developed and shared with CSC.</w:t>
            </w:r>
          </w:p>
          <w:p w:rsidR="0043762C" w:rsidRPr="0043762C" w:rsidRDefault="0043762C" w:rsidP="0043762C">
            <w:pPr>
              <w:spacing w:after="0" w:line="240" w:lineRule="auto"/>
              <w:jc w:val="left"/>
              <w:rPr>
                <w:rFonts w:cs="Arial"/>
                <w:lang w:eastAsia="ja-JP"/>
              </w:rPr>
            </w:pPr>
          </w:p>
          <w:p w:rsidR="0043762C" w:rsidRPr="0043762C" w:rsidRDefault="0043762C" w:rsidP="0043762C">
            <w:pPr>
              <w:spacing w:after="0" w:line="240" w:lineRule="auto"/>
              <w:jc w:val="left"/>
              <w:rPr>
                <w:rFonts w:cs="Arial"/>
                <w:lang w:eastAsia="ja-JP"/>
              </w:rPr>
            </w:pPr>
            <w:r w:rsidRPr="0043762C">
              <w:rPr>
                <w:rFonts w:cs="Arial"/>
                <w:lang w:eastAsia="ja-JP"/>
              </w:rPr>
              <w:t>Note – ISO/IEC 19086-3 recommends an SLO (10.10.2) of Minimum service change notification period in the Changes to the cloud service features and functionality component. However, sharing of CSP’s outage handling plan is not one of the SQOs in the component.</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10</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Exercise of CSP’s COIR plan</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Execution of a detailed plan defining the roles and responsibilities, notification protocol and various steps to be taken to respond to an incident by the CSP. This parameter defines the frequency of exercise and involvement of the CSCs.</w:t>
            </w:r>
          </w:p>
        </w:tc>
      </w:tr>
      <w:tr w:rsidR="0043762C" w:rsidRPr="0043762C" w:rsidTr="00E7061F">
        <w:tc>
          <w:tcPr>
            <w:tcW w:w="8820" w:type="dxa"/>
            <w:gridSpan w:val="3"/>
          </w:tcPr>
          <w:p w:rsidR="0043762C" w:rsidRPr="0043762C" w:rsidRDefault="0043762C" w:rsidP="0043762C">
            <w:pPr>
              <w:spacing w:after="0" w:line="240" w:lineRule="auto"/>
              <w:jc w:val="left"/>
              <w:rPr>
                <w:rFonts w:cs="Arial"/>
                <w:lang w:eastAsia="ja-JP"/>
              </w:rPr>
            </w:pPr>
            <w:r w:rsidRPr="0043762C">
              <w:rPr>
                <w:rFonts w:cs="Arial"/>
                <w:lang w:eastAsia="ja-JP"/>
              </w:rPr>
              <w:t>Outage handling</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11</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Notification time of cloud outage incident</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Lead time of first notification by CSP to CSC as a result of incident detected by CSP.</w:t>
            </w:r>
          </w:p>
          <w:p w:rsidR="0043762C" w:rsidRPr="0043762C" w:rsidRDefault="0043762C" w:rsidP="0043762C">
            <w:pPr>
              <w:spacing w:after="0" w:line="240" w:lineRule="auto"/>
              <w:jc w:val="left"/>
              <w:rPr>
                <w:rFonts w:cs="Arial"/>
                <w:lang w:eastAsia="ja-JP"/>
              </w:rPr>
            </w:pPr>
          </w:p>
          <w:p w:rsidR="0043762C" w:rsidRPr="0043762C" w:rsidRDefault="0043762C" w:rsidP="0043762C">
            <w:pPr>
              <w:spacing w:after="0" w:line="240" w:lineRule="auto"/>
              <w:jc w:val="left"/>
              <w:rPr>
                <w:rFonts w:cs="Arial"/>
                <w:lang w:eastAsia="ja-JP"/>
              </w:rPr>
            </w:pPr>
            <w:r w:rsidRPr="0043762C">
              <w:rPr>
                <w:rFonts w:cs="Arial"/>
                <w:lang w:eastAsia="ja-JP"/>
              </w:rPr>
              <w:t>Note – ISO/IEC 19086-3 recommends an SLO (10.8.4) of Service incident notification time in the cloud service support component. The SLO is about time interval in which the CSP shall provide a notification of a service incident. See also parameter No. 15.</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12</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 xml:space="preserve">Communication channel used for notification of cloud outage incident* </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Available communication channel(s) used by CSP to notify CSC of incident detected by CSP*.</w:t>
            </w:r>
          </w:p>
          <w:p w:rsidR="0043762C" w:rsidRPr="0043762C" w:rsidRDefault="0043762C" w:rsidP="0043762C">
            <w:pPr>
              <w:spacing w:after="0" w:line="240" w:lineRule="auto"/>
              <w:jc w:val="left"/>
              <w:rPr>
                <w:rFonts w:cs="Arial"/>
                <w:lang w:eastAsia="ja-JP"/>
              </w:rPr>
            </w:pPr>
          </w:p>
          <w:p w:rsidR="0043762C" w:rsidRPr="0043762C" w:rsidRDefault="0043762C" w:rsidP="0043762C">
            <w:pPr>
              <w:spacing w:after="0" w:line="240" w:lineRule="auto"/>
              <w:jc w:val="left"/>
              <w:rPr>
                <w:rFonts w:cs="Arial"/>
                <w:lang w:eastAsia="ja-JP"/>
              </w:rPr>
            </w:pP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13</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Communication channel available for use by CSC to report cloud outage incident*</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Available communication channel(s) used by CSC to notify CSP of a cloud outage incident*.</w:t>
            </w:r>
          </w:p>
          <w:p w:rsidR="0043762C" w:rsidRPr="0043762C" w:rsidRDefault="0043762C" w:rsidP="0043762C">
            <w:pPr>
              <w:spacing w:after="0" w:line="240" w:lineRule="auto"/>
              <w:jc w:val="left"/>
              <w:rPr>
                <w:rFonts w:cs="Arial"/>
                <w:lang w:eastAsia="ja-JP"/>
              </w:rPr>
            </w:pPr>
          </w:p>
          <w:p w:rsidR="0043762C" w:rsidRPr="0043762C" w:rsidRDefault="0043762C" w:rsidP="0043762C">
            <w:pPr>
              <w:spacing w:after="0" w:line="240" w:lineRule="auto"/>
              <w:jc w:val="left"/>
              <w:rPr>
                <w:rFonts w:cs="Arial"/>
                <w:lang w:eastAsia="ja-JP"/>
              </w:rPr>
            </w:pPr>
            <w:r w:rsidRPr="0043762C">
              <w:rPr>
                <w:rFonts w:cs="Arial"/>
                <w:lang w:eastAsia="ja-JP"/>
              </w:rPr>
              <w:t>Note – This COIR parameter is equivalent to the SQO (10.8.10) of Service incident reporting (i.e., options which the CSC may use to report service incidents to the CSP) in the Cloud service support component recommended in ISO/IEC 19086-3.</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14</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Response time by CSP</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Time taken by CSP to acknowledge the incident reported by CSC and start the incident investigation.</w:t>
            </w:r>
          </w:p>
          <w:p w:rsidR="0043762C" w:rsidRPr="0043762C" w:rsidRDefault="0043762C" w:rsidP="0043762C">
            <w:pPr>
              <w:spacing w:after="0" w:line="240" w:lineRule="auto"/>
              <w:jc w:val="left"/>
              <w:rPr>
                <w:rFonts w:cs="Arial"/>
                <w:lang w:eastAsia="ja-JP"/>
              </w:rPr>
            </w:pPr>
          </w:p>
          <w:p w:rsidR="0043762C" w:rsidRPr="0043762C" w:rsidRDefault="0043762C" w:rsidP="0043762C">
            <w:pPr>
              <w:spacing w:after="0" w:line="240" w:lineRule="auto"/>
              <w:jc w:val="left"/>
              <w:rPr>
                <w:rFonts w:cs="Arial"/>
                <w:lang w:eastAsia="ja-JP"/>
              </w:rPr>
            </w:pPr>
            <w:r w:rsidRPr="0043762C">
              <w:rPr>
                <w:rFonts w:cs="Arial"/>
                <w:lang w:eastAsia="ja-JP"/>
              </w:rPr>
              <w:t>Note – This COIR parameter is equivalent to the Maximum first response time SLO (10.8.5) which specifies the maximum time between a customer reporting an incident and the cloud service provider’s initial response to the report in the Cloud service support component recommended in ISO/IEC 19086-3.</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15</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Frequency of status update of reported outage</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Frequency of status update of outage remediation progress by CSP.</w:t>
            </w:r>
          </w:p>
          <w:p w:rsidR="0043762C" w:rsidRPr="0043762C" w:rsidRDefault="0043762C" w:rsidP="0043762C">
            <w:pPr>
              <w:spacing w:after="0" w:line="240" w:lineRule="auto"/>
              <w:jc w:val="left"/>
              <w:rPr>
                <w:rFonts w:cs="Arial"/>
                <w:lang w:eastAsia="ja-JP"/>
              </w:rPr>
            </w:pPr>
          </w:p>
          <w:p w:rsidR="0043762C" w:rsidRPr="0043762C" w:rsidRDefault="0043762C" w:rsidP="0043762C">
            <w:pPr>
              <w:spacing w:after="0" w:line="240" w:lineRule="auto"/>
              <w:jc w:val="left"/>
              <w:rPr>
                <w:rFonts w:cs="Arial"/>
                <w:lang w:eastAsia="ja-JP"/>
              </w:rPr>
            </w:pPr>
            <w:r w:rsidRPr="0043762C">
              <w:rPr>
                <w:rFonts w:cs="Arial"/>
                <w:lang w:eastAsia="ja-JP"/>
              </w:rPr>
              <w:t>Note – ISO/IEC 19086-3 recommends service incident notification time SLO (10.8.4) as one of the Cloud service support component.</w:t>
            </w:r>
            <w:r w:rsidRPr="0043762C">
              <w:t xml:space="preserve"> </w:t>
            </w:r>
            <w:r w:rsidRPr="0043762C">
              <w:rPr>
                <w:rFonts w:cs="Arial"/>
                <w:lang w:eastAsia="ja-JP"/>
              </w:rPr>
              <w:t>The SLO is about time interval in which the CSP shall provide a notification of a service incident but it does not specifically indicate the frequency of status update. See also parameter No. 11.</w:t>
            </w:r>
          </w:p>
        </w:tc>
      </w:tr>
      <w:tr w:rsidR="0043762C" w:rsidRPr="0043762C" w:rsidTr="00E7061F">
        <w:tc>
          <w:tcPr>
            <w:tcW w:w="540" w:type="dxa"/>
          </w:tcPr>
          <w:p w:rsidR="0043762C" w:rsidRPr="0043762C" w:rsidRDefault="0043762C" w:rsidP="0043762C">
            <w:pPr>
              <w:spacing w:after="0" w:line="240" w:lineRule="auto"/>
              <w:jc w:val="left"/>
              <w:rPr>
                <w:rFonts w:cs="Arial"/>
                <w:lang w:eastAsia="ja-JP"/>
              </w:rPr>
            </w:pPr>
            <w:r w:rsidRPr="0043762C">
              <w:rPr>
                <w:rFonts w:cs="Arial"/>
                <w:lang w:eastAsia="ja-JP"/>
              </w:rPr>
              <w:t>16</w:t>
            </w:r>
          </w:p>
        </w:tc>
        <w:tc>
          <w:tcPr>
            <w:tcW w:w="2340" w:type="dxa"/>
          </w:tcPr>
          <w:p w:rsidR="0043762C" w:rsidRPr="0043762C" w:rsidRDefault="0043762C" w:rsidP="0043762C">
            <w:pPr>
              <w:spacing w:after="0" w:line="240" w:lineRule="auto"/>
              <w:jc w:val="left"/>
              <w:rPr>
                <w:rFonts w:cs="Arial"/>
                <w:lang w:eastAsia="ja-JP"/>
              </w:rPr>
            </w:pPr>
            <w:r w:rsidRPr="0043762C">
              <w:rPr>
                <w:rFonts w:cs="Arial"/>
                <w:lang w:eastAsia="ja-JP"/>
              </w:rPr>
              <w:t>Channel of communication used for outage status update*</w:t>
            </w:r>
          </w:p>
        </w:tc>
        <w:tc>
          <w:tcPr>
            <w:tcW w:w="5940" w:type="dxa"/>
          </w:tcPr>
          <w:p w:rsidR="0043762C" w:rsidRPr="0043762C" w:rsidRDefault="0043762C" w:rsidP="0043762C">
            <w:pPr>
              <w:spacing w:after="0" w:line="240" w:lineRule="auto"/>
              <w:jc w:val="left"/>
              <w:rPr>
                <w:rFonts w:cs="Arial"/>
                <w:lang w:eastAsia="ja-JP"/>
              </w:rPr>
            </w:pPr>
            <w:r w:rsidRPr="0043762C">
              <w:rPr>
                <w:rFonts w:cs="Arial"/>
                <w:lang w:eastAsia="ja-JP"/>
              </w:rPr>
              <w:t>Available method(s) of communication between CSC and CSP during incident.</w:t>
            </w:r>
          </w:p>
          <w:p w:rsidR="0043762C" w:rsidRPr="0043762C" w:rsidRDefault="0043762C" w:rsidP="0043762C">
            <w:pPr>
              <w:spacing w:after="0" w:line="240" w:lineRule="auto"/>
              <w:jc w:val="left"/>
              <w:rPr>
                <w:rFonts w:cs="Arial"/>
                <w:lang w:eastAsia="ja-JP"/>
              </w:rPr>
            </w:pPr>
          </w:p>
          <w:p w:rsidR="0043762C" w:rsidRPr="0043762C" w:rsidRDefault="0043762C" w:rsidP="0043762C">
            <w:pPr>
              <w:spacing w:after="0" w:line="240" w:lineRule="auto"/>
              <w:jc w:val="left"/>
              <w:rPr>
                <w:rFonts w:cs="Arial"/>
                <w:lang w:eastAsia="ja-JP"/>
              </w:rPr>
            </w:pPr>
            <w:r w:rsidRPr="0043762C">
              <w:rPr>
                <w:rFonts w:cs="Arial"/>
                <w:lang w:eastAsia="ja-JP"/>
              </w:rPr>
              <w:t>Note – ISO/IEC 19086-3 recommends an SQO (10.8.11) of Service incident notification which documents the terms and conditions under which the CSP shall disclose the details of a service outage or condition that affects the operation of the service in the cloud service support component. However, it does not specifically identify the mechanisms for outage status update.</w:t>
            </w:r>
          </w:p>
        </w:tc>
      </w:tr>
    </w:tbl>
    <w:p w:rsidR="0043762C" w:rsidRDefault="0043762C"/>
    <w:p w:rsidR="0043762C" w:rsidRDefault="0043762C" w:rsidP="0043762C">
      <w:pPr>
        <w:spacing w:after="0" w:line="240" w:lineRule="auto"/>
        <w:rPr>
          <w:rFonts w:eastAsia="Calibri"/>
          <w:lang w:eastAsia="en-US"/>
        </w:rPr>
      </w:pPr>
      <w:r w:rsidRPr="00BA5C34">
        <w:rPr>
          <w:rFonts w:eastAsia="Calibri"/>
          <w:lang w:eastAsia="en-US"/>
        </w:rPr>
        <w:t xml:space="preserve">Note – </w:t>
      </w:r>
      <w:r>
        <w:rPr>
          <w:rFonts w:eastAsia="Calibri"/>
          <w:lang w:eastAsia="en-US"/>
        </w:rPr>
        <w:t>In</w:t>
      </w:r>
      <w:r w:rsidRPr="00BA5C34">
        <w:rPr>
          <w:rFonts w:eastAsia="Calibri"/>
          <w:lang w:eastAsia="en-US"/>
        </w:rPr>
        <w:t xml:space="preserve"> </w:t>
      </w:r>
      <w:r>
        <w:rPr>
          <w:rFonts w:eastAsia="Calibri"/>
          <w:lang w:eastAsia="en-US"/>
        </w:rPr>
        <w:t>t</w:t>
      </w:r>
      <w:r w:rsidRPr="00BA5C34">
        <w:rPr>
          <w:rFonts w:eastAsia="Calibri"/>
          <w:lang w:eastAsia="en-US"/>
        </w:rPr>
        <w:t xml:space="preserve">able </w:t>
      </w:r>
      <w:r>
        <w:rPr>
          <w:rFonts w:eastAsia="Calibri"/>
          <w:lang w:eastAsia="en-US"/>
        </w:rPr>
        <w:t>above</w:t>
      </w:r>
      <w:r w:rsidRPr="00BA5C34">
        <w:rPr>
          <w:rFonts w:eastAsia="Calibri"/>
          <w:lang w:eastAsia="en-US"/>
        </w:rPr>
        <w:t xml:space="preserve">, the number shown within the parentheses following the SLO or SQO indicates the </w:t>
      </w:r>
      <w:proofErr w:type="spellStart"/>
      <w:r w:rsidRPr="00BA5C34">
        <w:rPr>
          <w:rFonts w:eastAsia="Calibri"/>
          <w:lang w:eastAsia="en-US"/>
        </w:rPr>
        <w:t>subclause</w:t>
      </w:r>
      <w:proofErr w:type="spellEnd"/>
      <w:r w:rsidRPr="00BA5C34">
        <w:rPr>
          <w:rFonts w:eastAsia="Calibri"/>
          <w:lang w:eastAsia="en-US"/>
        </w:rPr>
        <w:t xml:space="preserve"> number in ISO/IEC 19086-3.</w:t>
      </w:r>
    </w:p>
    <w:p w:rsidR="0043762C" w:rsidRPr="00186A8F" w:rsidRDefault="0043762C" w:rsidP="0043762C">
      <w:pPr>
        <w:keepNext/>
        <w:spacing w:after="0" w:line="240" w:lineRule="auto"/>
        <w:outlineLvl w:val="3"/>
        <w:rPr>
          <w:color w:val="000000"/>
          <w:szCs w:val="20"/>
          <w:lang w:eastAsia="ja-JP"/>
        </w:rPr>
      </w:pPr>
    </w:p>
    <w:p w:rsidR="0043762C" w:rsidRDefault="0043762C"/>
    <w:sectPr w:rsidR="00437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0004D"/>
    <w:multiLevelType w:val="hybridMultilevel"/>
    <w:tmpl w:val="851271E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CE66128"/>
    <w:multiLevelType w:val="hybridMultilevel"/>
    <w:tmpl w:val="1C322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DE7"/>
    <w:rsid w:val="000E7C18"/>
    <w:rsid w:val="002A6B6E"/>
    <w:rsid w:val="00351E26"/>
    <w:rsid w:val="0043762C"/>
    <w:rsid w:val="00555972"/>
    <w:rsid w:val="009627A9"/>
    <w:rsid w:val="009708B1"/>
    <w:rsid w:val="00B42956"/>
    <w:rsid w:val="00BA6511"/>
    <w:rsid w:val="00D16195"/>
    <w:rsid w:val="00F2683D"/>
    <w:rsid w:val="00FE5DE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E6483-BA87-4C2D-9AB0-9DDD0FBD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DE7"/>
    <w:pPr>
      <w:spacing w:after="200" w:line="276" w:lineRule="auto"/>
      <w:jc w:val="both"/>
    </w:pPr>
    <w:rPr>
      <w:rFonts w:ascii="Arial" w:eastAsia="Times New Roman" w:hAnsi="Arial" w:cs="Times New Roman"/>
      <w:sz w:val="20"/>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DE7"/>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sume Title"/>
    <w:basedOn w:val="Normal"/>
    <w:link w:val="ListParagraphChar"/>
    <w:uiPriority w:val="34"/>
    <w:qFormat/>
    <w:rsid w:val="00FE5DE7"/>
    <w:pPr>
      <w:ind w:left="720"/>
      <w:contextualSpacing/>
    </w:pPr>
    <w:rPr>
      <w:lang w:val="en-GB"/>
    </w:rPr>
  </w:style>
  <w:style w:type="paragraph" w:customStyle="1" w:styleId="H1">
    <w:name w:val="H1"/>
    <w:basedOn w:val="Normal"/>
    <w:link w:val="H1Char"/>
    <w:qFormat/>
    <w:rsid w:val="00FE5DE7"/>
    <w:pPr>
      <w:tabs>
        <w:tab w:val="left" w:pos="720"/>
      </w:tabs>
      <w:spacing w:after="0" w:line="240" w:lineRule="auto"/>
    </w:pPr>
    <w:rPr>
      <w:b/>
      <w:sz w:val="24"/>
      <w:szCs w:val="20"/>
      <w:lang w:val="en-US" w:eastAsia="ja-JP"/>
    </w:rPr>
  </w:style>
  <w:style w:type="character" w:customStyle="1" w:styleId="H1Char">
    <w:name w:val="H1 Char"/>
    <w:basedOn w:val="DefaultParagraphFont"/>
    <w:link w:val="H1"/>
    <w:rsid w:val="00FE5DE7"/>
    <w:rPr>
      <w:rFonts w:ascii="Arial" w:eastAsia="Times New Roman" w:hAnsi="Arial" w:cs="Times New Roman"/>
      <w:b/>
      <w:sz w:val="24"/>
      <w:szCs w:val="20"/>
      <w:lang w:val="en-US" w:eastAsia="ja-JP"/>
    </w:rPr>
  </w:style>
  <w:style w:type="character" w:customStyle="1" w:styleId="ListParagraphChar">
    <w:name w:val="List Paragraph Char"/>
    <w:aliases w:val="Resume Title Char"/>
    <w:link w:val="ListParagraph"/>
    <w:uiPriority w:val="34"/>
    <w:rsid w:val="00FE5DE7"/>
    <w:rPr>
      <w:rFonts w:ascii="Arial" w:eastAsia="Times New Roman" w:hAnsi="Arial" w:cs="Times New Roman"/>
      <w:sz w:val="20"/>
      <w:lang w:val="en-GB" w:eastAsia="en-SG"/>
    </w:rPr>
  </w:style>
  <w:style w:type="character" w:styleId="CommentReference">
    <w:name w:val="annotation reference"/>
    <w:basedOn w:val="DefaultParagraphFont"/>
    <w:uiPriority w:val="99"/>
    <w:semiHidden/>
    <w:unhideWhenUsed/>
    <w:rsid w:val="00FE5DE7"/>
    <w:rPr>
      <w:sz w:val="16"/>
      <w:szCs w:val="16"/>
    </w:rPr>
  </w:style>
  <w:style w:type="paragraph" w:styleId="CommentText">
    <w:name w:val="annotation text"/>
    <w:basedOn w:val="Normal"/>
    <w:link w:val="CommentTextChar"/>
    <w:uiPriority w:val="99"/>
    <w:unhideWhenUsed/>
    <w:rsid w:val="00FE5DE7"/>
    <w:pPr>
      <w:spacing w:line="240" w:lineRule="auto"/>
    </w:pPr>
    <w:rPr>
      <w:szCs w:val="20"/>
    </w:rPr>
  </w:style>
  <w:style w:type="character" w:customStyle="1" w:styleId="CommentTextChar">
    <w:name w:val="Comment Text Char"/>
    <w:basedOn w:val="DefaultParagraphFont"/>
    <w:link w:val="CommentText"/>
    <w:uiPriority w:val="99"/>
    <w:rsid w:val="00FE5DE7"/>
    <w:rPr>
      <w:rFonts w:ascii="Arial" w:eastAsia="Times New Roman" w:hAnsi="Arial" w:cs="Times New Roman"/>
      <w:sz w:val="20"/>
      <w:szCs w:val="20"/>
      <w:lang w:eastAsia="en-SG"/>
    </w:rPr>
  </w:style>
  <w:style w:type="paragraph" w:styleId="BalloonText">
    <w:name w:val="Balloon Text"/>
    <w:basedOn w:val="Normal"/>
    <w:link w:val="BalloonTextChar"/>
    <w:uiPriority w:val="99"/>
    <w:semiHidden/>
    <w:unhideWhenUsed/>
    <w:rsid w:val="00FE5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DE7"/>
    <w:rPr>
      <w:rFonts w:ascii="Segoe UI" w:eastAsia="Times New Roman" w:hAnsi="Segoe UI" w:cs="Segoe UI"/>
      <w:sz w:val="18"/>
      <w:szCs w:val="18"/>
      <w:lang w:eastAsia="en-SG"/>
    </w:rPr>
  </w:style>
  <w:style w:type="table" w:customStyle="1" w:styleId="TableGrid2">
    <w:name w:val="Table Grid2"/>
    <w:basedOn w:val="TableNormal"/>
    <w:next w:val="TableGrid"/>
    <w:uiPriority w:val="59"/>
    <w:rsid w:val="0043762C"/>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3762C"/>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 Sing TAO (IDA)</dc:creator>
  <cp:keywords/>
  <dc:description/>
  <cp:lastModifiedBy>Nazihah AHMAD from.TP (IMDA)</cp:lastModifiedBy>
  <cp:revision>1</cp:revision>
  <dcterms:created xsi:type="dcterms:W3CDTF">2018-03-09T00:08:00Z</dcterms:created>
  <dcterms:modified xsi:type="dcterms:W3CDTF">2018-03-09T00:08:00Z</dcterms:modified>
</cp:coreProperties>
</file>